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400" w:lineRule="exact"/>
        <w:rPr>
          <w:rFonts w:ascii="Times New Roman" w:hAnsi="Times New Roman"/>
          <w:color w:val="000000"/>
        </w:rPr>
      </w:pPr>
    </w:p>
    <w:p>
      <w:pPr>
        <w:spacing w:line="400" w:lineRule="exact"/>
        <w:jc w:val="righ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jc w:val="center"/>
        <w:rPr>
          <w:rFonts w:ascii="Times New Roman" w:hAnsi="Times New Roman" w:eastAsia="黑体"/>
          <w:sz w:val="28"/>
          <w:szCs w:val="28"/>
        </w:rPr>
      </w:pPr>
      <w:r>
        <w:rPr>
          <w:rFonts w:ascii="Times New Roman" w:hAnsi="Times New Roman" w:eastAsia="黑体"/>
          <w:sz w:val="28"/>
          <w:szCs w:val="28"/>
          <w:u w:val="single"/>
        </w:rPr>
        <w:t xml:space="preserve">  </w:t>
      </w:r>
      <w:r>
        <w:rPr>
          <w:rFonts w:hint="eastAsia" w:ascii="Times New Roman" w:hAnsi="Times New Roman" w:eastAsia="黑体"/>
          <w:sz w:val="28"/>
          <w:szCs w:val="28"/>
          <w:u w:val="single"/>
        </w:rPr>
        <w:t>亳州公路客运高铁枢纽站项目弱电智能化</w:t>
      </w:r>
      <w:r>
        <w:rPr>
          <w:rFonts w:ascii="Times New Roman" w:hAnsi="Times New Roman" w:eastAsia="黑体"/>
          <w:sz w:val="28"/>
          <w:szCs w:val="28"/>
          <w:u w:val="single"/>
        </w:rPr>
        <w:t>设计</w:t>
      </w:r>
    </w:p>
    <w:p>
      <w:pPr>
        <w:jc w:val="center"/>
        <w:rPr>
          <w:rFonts w:ascii="Times New Roman" w:hAnsi="Times New Roman" w:eastAsia="黑体"/>
          <w:sz w:val="28"/>
          <w:szCs w:val="28"/>
        </w:rPr>
      </w:pPr>
    </w:p>
    <w:p>
      <w:pPr>
        <w:tabs>
          <w:tab w:val="center" w:pos="4380"/>
          <w:tab w:val="left" w:pos="7467"/>
        </w:tabs>
        <w:jc w:val="left"/>
        <w:rPr>
          <w:rFonts w:hint="eastAsia" w:ascii="Times New Roman" w:hAnsi="Times New Roman" w:eastAsia="黑体"/>
          <w:sz w:val="28"/>
          <w:szCs w:val="28"/>
          <w:lang w:eastAsia="zh-CN"/>
        </w:rPr>
      </w:pPr>
      <w:r>
        <w:rPr>
          <w:rFonts w:hint="eastAsia" w:ascii="Times New Roman" w:hAnsi="Times New Roman" w:eastAsia="黑体"/>
          <w:sz w:val="28"/>
          <w:szCs w:val="28"/>
          <w:lang w:eastAsia="zh-CN"/>
        </w:rPr>
        <w:tab/>
      </w:r>
      <w:r>
        <w:rPr>
          <w:rFonts w:ascii="Times New Roman" w:hAnsi="Times New Roman" w:eastAsia="黑体"/>
          <w:sz w:val="28"/>
          <w:szCs w:val="28"/>
        </w:rPr>
        <w:t>（招标编号：</w:t>
      </w:r>
      <w:r>
        <w:rPr>
          <w:rFonts w:ascii="Times New Roman" w:hAnsi="Times New Roman"/>
          <w:color w:val="000000"/>
          <w:u w:val="single"/>
        </w:rPr>
        <w:t xml:space="preserve">              </w:t>
      </w:r>
      <w:r>
        <w:rPr>
          <w:rFonts w:ascii="Times New Roman" w:hAnsi="Times New Roman" w:eastAsia="黑体"/>
          <w:sz w:val="28"/>
          <w:szCs w:val="28"/>
        </w:rPr>
        <w:t>）</w:t>
      </w:r>
      <w:r>
        <w:rPr>
          <w:rFonts w:hint="eastAsia" w:ascii="Times New Roman" w:hAnsi="Times New Roman" w:eastAsia="黑体"/>
          <w:sz w:val="28"/>
          <w:szCs w:val="28"/>
          <w:lang w:eastAsia="zh-CN"/>
        </w:rPr>
        <w:tab/>
      </w:r>
    </w:p>
    <w:p>
      <w:pPr>
        <w:spacing w:line="400" w:lineRule="exact"/>
        <w:rPr>
          <w:rFonts w:ascii="Times New Roman" w:hAnsi="Times New Roman"/>
          <w:color w:val="000000"/>
        </w:rPr>
      </w:pPr>
    </w:p>
    <w:p>
      <w:pPr>
        <w:spacing w:line="400" w:lineRule="exact"/>
        <w:jc w:val="right"/>
        <w:rPr>
          <w:rFonts w:ascii="Times New Roman" w:hAnsi="Times New Roman"/>
          <w:color w:val="000000"/>
        </w:rPr>
      </w:pPr>
    </w:p>
    <w:p>
      <w:pPr>
        <w:rPr>
          <w:rFonts w:ascii="Times New Roman" w:hAnsi="Times New Roman"/>
          <w:sz w:val="28"/>
          <w:szCs w:val="28"/>
        </w:rPr>
      </w:pPr>
    </w:p>
    <w:p>
      <w:pPr>
        <w:rPr>
          <w:rFonts w:ascii="Times New Roman" w:hAnsi="Times New Roman"/>
          <w:color w:val="000000"/>
          <w:sz w:val="28"/>
        </w:rPr>
      </w:pPr>
    </w:p>
    <w:p>
      <w:pPr>
        <w:jc w:val="center"/>
        <w:rPr>
          <w:rFonts w:ascii="Times New Roman" w:hAnsi="Times New Roman" w:eastAsia="黑体"/>
          <w:color w:val="000000"/>
          <w:sz w:val="44"/>
        </w:rPr>
      </w:pPr>
      <w:r>
        <w:rPr>
          <w:rFonts w:ascii="Times New Roman" w:hAnsi="Times New Roman" w:eastAsia="黑体"/>
          <w:color w:val="000000"/>
          <w:sz w:val="44"/>
        </w:rPr>
        <w:t>招标文件</w:t>
      </w: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jc w:val="center"/>
        <w:rPr>
          <w:rFonts w:ascii="Times New Roman" w:hAnsi="Times New Roman" w:eastAsia="黑体"/>
          <w:color w:val="000000"/>
          <w:sz w:val="28"/>
        </w:rPr>
      </w:pPr>
      <w:r>
        <w:rPr>
          <w:rFonts w:ascii="Times New Roman" w:hAnsi="Times New Roman" w:eastAsia="黑体"/>
          <w:color w:val="000000"/>
          <w:sz w:val="28"/>
        </w:rPr>
        <w:t>招标人：</w:t>
      </w:r>
      <w:r>
        <w:rPr>
          <w:rFonts w:ascii="Times New Roman" w:hAnsi="Times New Roman"/>
          <w:color w:val="000000"/>
          <w:u w:val="single"/>
        </w:rPr>
        <w:t xml:space="preserve">              </w:t>
      </w:r>
      <w:r>
        <w:rPr>
          <w:rFonts w:ascii="Times New Roman" w:hAnsi="Times New Roman" w:eastAsia="黑体"/>
          <w:color w:val="000000"/>
          <w:sz w:val="28"/>
        </w:rPr>
        <w:t>（盖单位章）</w:t>
      </w:r>
    </w:p>
    <w:p>
      <w:pPr>
        <w:jc w:val="center"/>
        <w:rPr>
          <w:rFonts w:ascii="Times New Roman" w:hAnsi="Times New Roman" w:eastAsia="黑体"/>
          <w:color w:val="000000"/>
          <w:sz w:val="28"/>
        </w:rPr>
      </w:pPr>
    </w:p>
    <w:p>
      <w:pPr>
        <w:jc w:val="center"/>
        <w:rPr>
          <w:rFonts w:ascii="Times New Roman" w:hAnsi="Times New Roman" w:eastAsia="黑体"/>
          <w:color w:val="000000"/>
          <w:sz w:val="28"/>
        </w:rPr>
      </w:pPr>
      <w:r>
        <w:rPr>
          <w:rFonts w:hint="eastAsia" w:ascii="Times New Roman" w:hAnsi="Times New Roman"/>
          <w:color w:val="000000"/>
          <w:sz w:val="28"/>
          <w:szCs w:val="28"/>
          <w:u w:val="single"/>
          <w:lang w:val="en-US" w:eastAsia="zh-CN"/>
        </w:rPr>
        <w:t>2018</w:t>
      </w:r>
      <w:r>
        <w:rPr>
          <w:rFonts w:ascii="Times New Roman" w:hAnsi="Times New Roman"/>
          <w:color w:val="000000"/>
          <w:sz w:val="28"/>
          <w:szCs w:val="28"/>
          <w:u w:val="single"/>
        </w:rPr>
        <w:t xml:space="preserve"> </w:t>
      </w:r>
      <w:r>
        <w:rPr>
          <w:rFonts w:ascii="Times New Roman" w:hAnsi="Times New Roman" w:eastAsia="黑体"/>
          <w:color w:val="000000"/>
          <w:sz w:val="28"/>
          <w:szCs w:val="28"/>
        </w:rPr>
        <w:t>年</w:t>
      </w:r>
      <w:r>
        <w:rPr>
          <w:rFonts w:ascii="Times New Roman" w:hAnsi="Times New Roman"/>
          <w:color w:val="000000"/>
          <w:sz w:val="28"/>
          <w:szCs w:val="28"/>
          <w:u w:val="single"/>
        </w:rPr>
        <w:t xml:space="preserve"> </w:t>
      </w:r>
      <w:r>
        <w:rPr>
          <w:rFonts w:hint="eastAsia" w:ascii="Times New Roman" w:hAnsi="Times New Roman"/>
          <w:color w:val="000000"/>
          <w:sz w:val="28"/>
          <w:szCs w:val="28"/>
          <w:u w:val="single"/>
          <w:lang w:val="en-US" w:eastAsia="zh-CN"/>
        </w:rPr>
        <w:t>11</w:t>
      </w:r>
      <w:r>
        <w:rPr>
          <w:rFonts w:ascii="Times New Roman" w:hAnsi="Times New Roman" w:eastAsia="黑体"/>
          <w:color w:val="000000"/>
          <w:sz w:val="28"/>
          <w:szCs w:val="28"/>
        </w:rPr>
        <w:t>月</w:t>
      </w:r>
      <w:r>
        <w:rPr>
          <w:rFonts w:ascii="Times New Roman" w:hAnsi="Times New Roman"/>
          <w:color w:val="000000"/>
          <w:sz w:val="28"/>
          <w:szCs w:val="28"/>
          <w:u w:val="single"/>
        </w:rPr>
        <w:t xml:space="preserve"> </w:t>
      </w:r>
      <w:r>
        <w:rPr>
          <w:rFonts w:hint="eastAsia" w:ascii="Times New Roman" w:hAnsi="Times New Roman"/>
          <w:color w:val="000000"/>
          <w:sz w:val="28"/>
          <w:szCs w:val="28"/>
          <w:u w:val="single"/>
          <w:lang w:val="en-US" w:eastAsia="zh-CN"/>
        </w:rPr>
        <w:t>13</w:t>
      </w:r>
      <w:r>
        <w:rPr>
          <w:rFonts w:ascii="Times New Roman" w:hAnsi="Times New Roman"/>
          <w:color w:val="000000"/>
          <w:sz w:val="28"/>
          <w:szCs w:val="28"/>
          <w:u w:val="single"/>
        </w:rPr>
        <w:t xml:space="preserve"> </w:t>
      </w:r>
      <w:r>
        <w:rPr>
          <w:rFonts w:ascii="Times New Roman" w:hAnsi="Times New Roman" w:eastAsia="黑体"/>
          <w:color w:val="000000"/>
          <w:sz w:val="28"/>
          <w:szCs w:val="28"/>
        </w:rPr>
        <w:t>日</w:t>
      </w:r>
    </w:p>
    <w:p>
      <w:pPr>
        <w:jc w:val="center"/>
        <w:rPr>
          <w:rFonts w:ascii="Times New Roman" w:hAnsi="Times New Roman" w:eastAsia="黑体"/>
          <w:color w:val="000000"/>
          <w:sz w:val="28"/>
        </w:rPr>
      </w:pPr>
    </w:p>
    <w:p>
      <w:pPr>
        <w:jc w:val="center"/>
        <w:rPr>
          <w:rFonts w:ascii="Times New Roman" w:hAnsi="Times New Roman"/>
        </w:rPr>
      </w:pPr>
      <w:r>
        <w:rPr>
          <w:rFonts w:ascii="Times New Roman" w:hAnsi="Times New Roman"/>
          <w:color w:val="000000"/>
        </w:rPr>
        <w:br w:type="page"/>
      </w:r>
      <w:bookmarkStart w:id="0" w:name="_Toc144974479"/>
      <w:bookmarkStart w:id="1" w:name="_Toc152045511"/>
      <w:bookmarkStart w:id="2" w:name="_Toc152042287"/>
    </w:p>
    <w:p>
      <w:pPr>
        <w:pStyle w:val="2"/>
        <w:numPr>
          <w:ilvl w:val="0"/>
          <w:numId w:val="0"/>
        </w:numPr>
        <w:ind w:leftChars="0"/>
        <w:jc w:val="center"/>
        <w:rPr>
          <w:sz w:val="32"/>
          <w:szCs w:val="32"/>
        </w:rPr>
      </w:pPr>
      <w:bookmarkStart w:id="3" w:name="_Toc492300332"/>
      <w:r>
        <w:rPr>
          <w:rFonts w:hint="eastAsia"/>
          <w:sz w:val="32"/>
          <w:szCs w:val="32"/>
          <w:lang w:val="en-US" w:eastAsia="zh-CN"/>
        </w:rPr>
        <w:t>第一章：</w:t>
      </w:r>
      <w:r>
        <w:rPr>
          <w:rFonts w:hint="eastAsia"/>
          <w:sz w:val="32"/>
          <w:szCs w:val="32"/>
        </w:rPr>
        <w:t>招标公告</w:t>
      </w:r>
      <w:bookmarkEnd w:id="3"/>
    </w:p>
    <w:p>
      <w:pPr>
        <w:spacing w:line="440" w:lineRule="exact"/>
        <w:jc w:val="center"/>
        <w:rPr>
          <w:rFonts w:ascii="Times New Roman" w:hAnsi="Times New Roman" w:eastAsia="黑体"/>
          <w:color w:val="000000"/>
          <w:sz w:val="20"/>
        </w:rPr>
      </w:pPr>
      <w:r>
        <w:rPr>
          <w:rFonts w:hint="eastAsia" w:ascii="Times New Roman" w:hAnsi="Times New Roman" w:eastAsia="黑体"/>
          <w:sz w:val="28"/>
          <w:szCs w:val="28"/>
          <w:u w:val="single"/>
        </w:rPr>
        <w:t>亳州公路客运高铁枢纽站项目弱电智能化</w:t>
      </w:r>
      <w:r>
        <w:rPr>
          <w:rFonts w:ascii="Times New Roman" w:hAnsi="Times New Roman" w:eastAsia="黑体"/>
          <w:sz w:val="28"/>
          <w:szCs w:val="28"/>
          <w:u w:val="single"/>
        </w:rPr>
        <w:t>设计</w:t>
      </w:r>
      <w:r>
        <w:rPr>
          <w:rFonts w:ascii="Times New Roman" w:hAnsi="Times New Roman" w:eastAsia="黑体"/>
          <w:sz w:val="28"/>
        </w:rPr>
        <w:t>招标公</w:t>
      </w:r>
      <w:r>
        <w:rPr>
          <w:rFonts w:ascii="Times New Roman" w:hAnsi="Times New Roman" w:eastAsia="黑体"/>
          <w:color w:val="000000"/>
          <w:sz w:val="28"/>
        </w:rPr>
        <w:t>告</w:t>
      </w:r>
    </w:p>
    <w:p>
      <w:pPr>
        <w:pStyle w:val="3"/>
        <w:spacing w:line="240" w:lineRule="auto"/>
        <w:rPr>
          <w:rFonts w:ascii="Times New Roman" w:hAnsi="Times New Roman"/>
          <w:color w:val="000000"/>
        </w:rPr>
      </w:pPr>
      <w:bookmarkStart w:id="4" w:name="_Toc492300333"/>
      <w:r>
        <w:rPr>
          <w:rFonts w:ascii="Times New Roman" w:hAnsi="Times New Roman"/>
          <w:color w:val="000000"/>
        </w:rPr>
        <w:t xml:space="preserve">1. </w:t>
      </w:r>
      <w:r>
        <w:rPr>
          <w:rFonts w:hint="eastAsia" w:ascii="Times New Roman" w:hAnsi="Times New Roman"/>
          <w:color w:val="000000"/>
        </w:rPr>
        <w:t>招标条件</w:t>
      </w:r>
      <w:bookmarkEnd w:id="4"/>
    </w:p>
    <w:p>
      <w:pPr>
        <w:spacing w:line="400" w:lineRule="exact"/>
        <w:ind w:firstLine="420" w:firstLineChars="200"/>
        <w:rPr>
          <w:rFonts w:ascii="Times New Roman" w:hAnsi="Times New Roman"/>
        </w:rPr>
      </w:pPr>
      <w:r>
        <w:rPr>
          <w:rFonts w:hint="eastAsia" w:ascii="Times New Roman" w:hAnsi="Times New Roman"/>
        </w:rPr>
        <w:t>本项目为</w:t>
      </w:r>
      <w:r>
        <w:rPr>
          <w:rFonts w:hint="eastAsia" w:ascii="Times New Roman" w:hAnsi="Times New Roman"/>
          <w:u w:val="single"/>
          <w:shd w:val="clear" w:color="FFFFFF" w:fill="D9D9D9"/>
        </w:rPr>
        <w:t>亳州公路客运高铁枢纽站项目弱电智能化</w:t>
      </w:r>
      <w:r>
        <w:rPr>
          <w:rFonts w:hint="eastAsia" w:ascii="Times New Roman" w:hAnsi="Times New Roman"/>
          <w:u w:val="single"/>
          <w:shd w:val="clear" w:color="FFFFFF" w:fill="D9D9D9"/>
          <w:lang w:val="en-US" w:eastAsia="zh-CN"/>
        </w:rPr>
        <w:t>设计</w:t>
      </w:r>
      <w:r>
        <w:rPr>
          <w:rFonts w:hint="eastAsia" w:ascii="Times New Roman" w:hAnsi="Times New Roman"/>
        </w:rPr>
        <w:t>，招标人为</w:t>
      </w:r>
      <w:r>
        <w:rPr>
          <w:rFonts w:hint="eastAsia" w:ascii="Times New Roman" w:hAnsi="Times New Roman"/>
          <w:u w:val="single"/>
          <w:shd w:val="clear" w:color="FFFFFF" w:fill="D9D9D9"/>
        </w:rPr>
        <w:t>亳州交通投资控股集团有限公司</w:t>
      </w:r>
      <w:r>
        <w:rPr>
          <w:rFonts w:hint="eastAsia" w:ascii="Times New Roman" w:hAnsi="Times New Roman"/>
        </w:rPr>
        <w:t>，建设资金来自</w:t>
      </w:r>
      <w:r>
        <w:rPr>
          <w:rFonts w:hint="eastAsia" w:ascii="Times New Roman" w:hAnsi="Times New Roman"/>
          <w:u w:val="single"/>
          <w:shd w:val="clear" w:color="FFFFFF" w:fill="D9D9D9"/>
        </w:rPr>
        <w:t>企业自筹</w:t>
      </w:r>
      <w:r>
        <w:rPr>
          <w:rFonts w:hint="eastAsia" w:ascii="Times New Roman" w:hAnsi="Times New Roman"/>
        </w:rPr>
        <w:t>。项目已具备招标条件，现对该项目的设计进行</w:t>
      </w:r>
      <w:r>
        <w:rPr>
          <w:rFonts w:hint="eastAsia" w:ascii="Times New Roman" w:hAnsi="Times New Roman"/>
          <w:shd w:val="clear" w:color="FFFFFF" w:fill="D9D9D9"/>
        </w:rPr>
        <w:t>自主公开招标</w:t>
      </w:r>
      <w:r>
        <w:rPr>
          <w:rFonts w:hint="eastAsia" w:ascii="Times New Roman" w:hAnsi="Times New Roman"/>
        </w:rPr>
        <w:t>。</w:t>
      </w:r>
    </w:p>
    <w:p>
      <w:pPr>
        <w:pStyle w:val="3"/>
        <w:spacing w:line="240" w:lineRule="auto"/>
        <w:rPr>
          <w:rFonts w:ascii="Times New Roman" w:hAnsi="Times New Roman"/>
          <w:color w:val="000000"/>
        </w:rPr>
      </w:pPr>
      <w:bookmarkStart w:id="5" w:name="_Toc492300334"/>
      <w:r>
        <w:rPr>
          <w:rFonts w:ascii="Times New Roman" w:hAnsi="Times New Roman"/>
          <w:color w:val="000000"/>
        </w:rPr>
        <w:t>2. 项目概况与</w:t>
      </w:r>
      <w:r>
        <w:rPr>
          <w:rFonts w:hint="eastAsia" w:ascii="Times New Roman" w:hAnsi="Times New Roman"/>
          <w:color w:val="000000"/>
        </w:rPr>
        <w:t>招标范围</w:t>
      </w:r>
      <w:bookmarkEnd w:id="5"/>
    </w:p>
    <w:p>
      <w:pPr>
        <w:spacing w:line="400" w:lineRule="exact"/>
        <w:ind w:firstLine="420" w:firstLineChars="200"/>
        <w:rPr>
          <w:rFonts w:ascii="Times New Roman" w:hAnsi="Times New Roman"/>
          <w:szCs w:val="21"/>
        </w:rPr>
      </w:pPr>
      <w:r>
        <w:rPr>
          <w:rFonts w:hint="eastAsia" w:ascii="Times New Roman" w:hAnsi="Times New Roman"/>
          <w:szCs w:val="21"/>
        </w:rPr>
        <w:t>2.1 建设地点：市经开区，神农大道以西，银杏路以南，酒城大道以北。</w:t>
      </w:r>
    </w:p>
    <w:p>
      <w:pPr>
        <w:pStyle w:val="73"/>
        <w:numPr>
          <w:ilvl w:val="0"/>
          <w:numId w:val="0"/>
        </w:numPr>
        <w:spacing w:line="400" w:lineRule="exact"/>
        <w:ind w:left="425" w:leftChars="0"/>
        <w:rPr>
          <w:rFonts w:ascii="Times New Roman" w:hAnsi="Times New Roman"/>
          <w:szCs w:val="21"/>
        </w:rPr>
      </w:pPr>
      <w:r>
        <w:rPr>
          <w:rFonts w:hint="eastAsia" w:ascii="Times New Roman" w:hAnsi="Times New Roman"/>
          <w:szCs w:val="21"/>
        </w:rPr>
        <w:t>2.2 建设规模：高铁枢纽站项目占地13.1万m²，总建筑面积6万m²，包括长途客运站、公交站场、地面地下停车场、高架落客平台、站前景观广场等，总投资6.14亿元。</w:t>
      </w:r>
    </w:p>
    <w:p>
      <w:pPr>
        <w:spacing w:line="400" w:lineRule="exact"/>
        <w:ind w:firstLine="420" w:firstLineChars="200"/>
        <w:rPr>
          <w:rFonts w:ascii="Times New Roman" w:hAnsi="Times New Roman"/>
          <w:szCs w:val="21"/>
        </w:rPr>
      </w:pPr>
      <w:r>
        <w:rPr>
          <w:rFonts w:hint="eastAsia" w:ascii="Times New Roman" w:hAnsi="Times New Roman"/>
          <w:szCs w:val="21"/>
        </w:rPr>
        <w:t>2.3 设计服务期限：</w:t>
      </w:r>
      <w:r>
        <w:rPr>
          <w:rFonts w:hint="eastAsia" w:ascii="Times New Roman" w:hAnsi="Times New Roman"/>
          <w:szCs w:val="21"/>
          <w:lang w:eastAsia="zh-CN"/>
        </w:rPr>
        <w:t>签订合同</w:t>
      </w:r>
      <w:r>
        <w:rPr>
          <w:rFonts w:hint="eastAsia" w:ascii="Times New Roman" w:hAnsi="Times New Roman"/>
          <w:szCs w:val="21"/>
        </w:rPr>
        <w:t>至项目验收完毕止。</w:t>
      </w:r>
    </w:p>
    <w:p>
      <w:pPr>
        <w:spacing w:line="400" w:lineRule="exact"/>
        <w:ind w:firstLine="420" w:firstLineChars="200"/>
        <w:rPr>
          <w:rFonts w:ascii="Times New Roman" w:hAnsi="Times New Roman"/>
          <w:szCs w:val="21"/>
        </w:rPr>
      </w:pPr>
      <w:r>
        <w:rPr>
          <w:rFonts w:hint="eastAsia" w:ascii="Times New Roman" w:hAnsi="Times New Roman"/>
          <w:szCs w:val="21"/>
        </w:rPr>
        <w:t>2.4 招标范围：</w:t>
      </w:r>
      <w:r>
        <w:rPr>
          <w:rFonts w:hint="eastAsia" w:hAnsi="宋体"/>
          <w:snapToGrid w:val="0"/>
          <w:spacing w:val="-4"/>
          <w:kern w:val="0"/>
          <w:sz w:val="21"/>
          <w:szCs w:val="21"/>
          <w:u w:val="none"/>
        </w:rPr>
        <w:t>项目总体及各业态运营管理弱电智能化设计</w:t>
      </w:r>
      <w:r>
        <w:rPr>
          <w:rFonts w:hint="eastAsia" w:ascii="Times New Roman" w:hAnsi="Times New Roman"/>
          <w:szCs w:val="21"/>
        </w:rPr>
        <w:t>工作</w:t>
      </w:r>
      <w:r>
        <w:rPr>
          <w:rFonts w:hint="eastAsia" w:hAnsi="宋体"/>
          <w:snapToGrid w:val="0"/>
          <w:spacing w:val="-4"/>
          <w:kern w:val="0"/>
          <w:sz w:val="21"/>
          <w:szCs w:val="21"/>
          <w:u w:val="none"/>
        </w:rPr>
        <w:t>（公交区域除外）</w:t>
      </w:r>
      <w:r>
        <w:rPr>
          <w:rFonts w:hint="eastAsia" w:ascii="Times New Roman" w:hAnsi="Times New Roman"/>
          <w:szCs w:val="21"/>
          <w:lang w:eastAsia="zh-CN"/>
        </w:rPr>
        <w:t>，</w:t>
      </w:r>
      <w:r>
        <w:rPr>
          <w:rFonts w:hint="eastAsia" w:ascii="Times New Roman" w:hAnsi="Times New Roman"/>
          <w:szCs w:val="21"/>
        </w:rPr>
        <w:t>含</w:t>
      </w:r>
      <w:r>
        <w:rPr>
          <w:rFonts w:hint="eastAsia" w:ascii="Times New Roman" w:hAnsi="Times New Roman"/>
          <w:szCs w:val="21"/>
          <w:lang w:eastAsia="zh-CN"/>
        </w:rPr>
        <w:t>初步</w:t>
      </w:r>
      <w:r>
        <w:rPr>
          <w:rFonts w:hint="eastAsia" w:ascii="Times New Roman" w:hAnsi="Times New Roman"/>
          <w:szCs w:val="21"/>
        </w:rPr>
        <w:t>方案</w:t>
      </w:r>
      <w:r>
        <w:rPr>
          <w:rFonts w:hint="eastAsia" w:ascii="Times New Roman" w:hAnsi="Times New Roman"/>
          <w:szCs w:val="21"/>
          <w:lang w:val="en-US" w:eastAsia="zh-CN"/>
        </w:rPr>
        <w:t>设计（开标时提交），中标后的</w:t>
      </w:r>
      <w:r>
        <w:rPr>
          <w:rFonts w:hint="eastAsia" w:ascii="Times New Roman" w:hAnsi="Times New Roman"/>
          <w:szCs w:val="21"/>
        </w:rPr>
        <w:t>深化设计、施工图设计，相应设计阶段的审批、图审，施工过程中的设计服务，以及配合业主办理竣工验收，具体详见设计任务书。</w:t>
      </w:r>
    </w:p>
    <w:p>
      <w:pPr>
        <w:spacing w:line="400" w:lineRule="exact"/>
        <w:ind w:firstLine="420" w:firstLineChars="200"/>
        <w:rPr>
          <w:rFonts w:ascii="Times New Roman" w:hAnsi="Times New Roman"/>
          <w:szCs w:val="21"/>
        </w:rPr>
      </w:pPr>
      <w:r>
        <w:rPr>
          <w:rFonts w:hint="eastAsia" w:ascii="Times New Roman" w:hAnsi="Times New Roman"/>
          <w:szCs w:val="21"/>
        </w:rPr>
        <w:t>2.5 最高投标限价（招标控制价）：人民币（大写）：</w:t>
      </w:r>
      <w:r>
        <w:rPr>
          <w:rFonts w:hint="eastAsia" w:ascii="Times New Roman" w:hAnsi="Times New Roman"/>
          <w:szCs w:val="21"/>
          <w:u w:val="single"/>
        </w:rPr>
        <w:t xml:space="preserve"> 拾万 </w:t>
      </w:r>
      <w:r>
        <w:rPr>
          <w:rFonts w:hint="eastAsia" w:ascii="Times New Roman" w:hAnsi="Times New Roman"/>
          <w:szCs w:val="21"/>
        </w:rPr>
        <w:t>元整，（小写）：¥</w:t>
      </w:r>
      <w:r>
        <w:rPr>
          <w:rFonts w:hint="eastAsia" w:ascii="Times New Roman" w:hAnsi="Times New Roman"/>
          <w:szCs w:val="21"/>
          <w:u w:val="single"/>
        </w:rPr>
        <w:t xml:space="preserve"> 100000 </w:t>
      </w:r>
      <w:r>
        <w:rPr>
          <w:rFonts w:hint="eastAsia" w:ascii="Times New Roman" w:hAnsi="Times New Roman"/>
          <w:szCs w:val="21"/>
        </w:rPr>
        <w:t>元。</w:t>
      </w:r>
    </w:p>
    <w:p>
      <w:pPr>
        <w:pStyle w:val="3"/>
        <w:spacing w:line="240" w:lineRule="auto"/>
        <w:rPr>
          <w:rFonts w:ascii="Times New Roman" w:hAnsi="Times New Roman"/>
          <w:color w:val="000000"/>
        </w:rPr>
      </w:pPr>
      <w:bookmarkStart w:id="6" w:name="_Toc492300335"/>
      <w:r>
        <w:rPr>
          <w:rFonts w:ascii="Times New Roman" w:hAnsi="Times New Roman"/>
          <w:color w:val="000000"/>
        </w:rPr>
        <w:t>3. 投标人资格要求</w:t>
      </w:r>
      <w:bookmarkEnd w:id="6"/>
    </w:p>
    <w:p>
      <w:pPr>
        <w:spacing w:line="400" w:lineRule="exact"/>
        <w:ind w:firstLine="420" w:firstLineChars="200"/>
        <w:rPr>
          <w:rFonts w:ascii="Times New Roman" w:hAnsi="Times New Roman"/>
          <w:szCs w:val="21"/>
        </w:rPr>
      </w:pPr>
      <w:r>
        <w:rPr>
          <w:rFonts w:ascii="Times New Roman" w:hAnsi="Times New Roman"/>
          <w:szCs w:val="21"/>
        </w:rPr>
        <w:t xml:space="preserve">3.1 </w:t>
      </w:r>
      <w:r>
        <w:rPr>
          <w:rFonts w:hint="eastAsia" w:ascii="Times New Roman" w:hAnsi="Times New Roman"/>
          <w:szCs w:val="21"/>
        </w:rPr>
        <w:t>本次招标要求投标人须具备</w:t>
      </w:r>
      <w:r>
        <w:rPr>
          <w:rFonts w:hint="eastAsia" w:ascii="Times New Roman" w:hAnsi="Times New Roman"/>
          <w:szCs w:val="21"/>
          <w:u w:val="single"/>
        </w:rPr>
        <w:t>建筑智能化专项设计甲级</w:t>
      </w:r>
      <w:r>
        <w:rPr>
          <w:rFonts w:hint="eastAsia" w:ascii="Times New Roman" w:hAnsi="Times New Roman"/>
          <w:szCs w:val="21"/>
        </w:rPr>
        <w:t>资质，</w:t>
      </w:r>
      <w:r>
        <w:rPr>
          <w:rFonts w:hint="eastAsia" w:ascii="Times New Roman" w:hAnsi="Times New Roman"/>
          <w:szCs w:val="21"/>
          <w:u w:val="single"/>
        </w:rPr>
        <w:t>201</w:t>
      </w:r>
      <w:r>
        <w:rPr>
          <w:rFonts w:hint="eastAsia" w:ascii="Times New Roman" w:hAnsi="Times New Roman"/>
          <w:szCs w:val="21"/>
          <w:u w:val="single"/>
          <w:lang w:val="en-US" w:eastAsia="zh-CN"/>
        </w:rPr>
        <w:t>6</w:t>
      </w:r>
      <w:r>
        <w:rPr>
          <w:rFonts w:hint="eastAsia" w:ascii="Times New Roman" w:hAnsi="Times New Roman"/>
          <w:szCs w:val="21"/>
          <w:u w:val="single"/>
        </w:rPr>
        <w:t>年</w:t>
      </w:r>
      <w:r>
        <w:rPr>
          <w:rFonts w:hint="eastAsia" w:ascii="Times New Roman" w:hAnsi="Times New Roman"/>
          <w:szCs w:val="21"/>
          <w:u w:val="single"/>
          <w:lang w:val="en-US" w:eastAsia="zh-CN"/>
        </w:rPr>
        <w:t>1月</w:t>
      </w:r>
      <w:r>
        <w:rPr>
          <w:rFonts w:hint="eastAsia" w:ascii="Times New Roman" w:hAnsi="Times New Roman"/>
          <w:szCs w:val="21"/>
          <w:u w:val="single"/>
        </w:rPr>
        <w:t>以来，具有智能化工程设计（投资控制1000万以上）</w:t>
      </w:r>
      <w:r>
        <w:rPr>
          <w:rFonts w:hint="eastAsia" w:ascii="Times New Roman" w:hAnsi="Times New Roman"/>
          <w:szCs w:val="21"/>
        </w:rPr>
        <w:t>业绩，并在</w:t>
      </w:r>
      <w:r>
        <w:rPr>
          <w:rFonts w:hint="eastAsia" w:ascii="宋体" w:cs="宋体"/>
        </w:rPr>
        <w:t>人员、设备、资金</w:t>
      </w:r>
      <w:r>
        <w:rPr>
          <w:rFonts w:hint="eastAsia" w:ascii="Times New Roman" w:hAnsi="Times New Roman"/>
          <w:szCs w:val="21"/>
        </w:rPr>
        <w:t>方面具有相应的能力。</w:t>
      </w:r>
    </w:p>
    <w:p>
      <w:pPr>
        <w:spacing w:line="360" w:lineRule="auto"/>
        <w:ind w:right="420" w:rightChars="200" w:firstLine="420" w:firstLineChars="200"/>
        <w:rPr>
          <w:rFonts w:hint="eastAsia" w:ascii="宋体" w:eastAsia="宋体" w:cs="宋体"/>
          <w:lang w:eastAsia="zh-CN"/>
        </w:rPr>
      </w:pPr>
      <w:r>
        <w:rPr>
          <w:rFonts w:hint="eastAsia" w:ascii="Times New Roman" w:hAnsi="Times New Roman"/>
          <w:szCs w:val="21"/>
        </w:rPr>
        <w:t>3.2</w:t>
      </w:r>
      <w:r>
        <w:rPr>
          <w:rFonts w:hint="eastAsia" w:ascii="宋体" w:cs="宋体"/>
        </w:rPr>
        <w:t>项目负责人资格要求：</w:t>
      </w:r>
      <w:r>
        <w:rPr>
          <w:rFonts w:hint="eastAsia" w:ascii="宋体" w:hAnsi="宋体" w:cs="宋体"/>
          <w:sz w:val="21"/>
          <w:szCs w:val="21"/>
        </w:rPr>
        <w:t>具有相关电气（或建筑电气）</w:t>
      </w:r>
      <w:r>
        <w:rPr>
          <w:rFonts w:hint="eastAsia" w:ascii="宋体" w:cs="宋体"/>
          <w:sz w:val="21"/>
          <w:szCs w:val="21"/>
        </w:rPr>
        <w:t>高级工程师及以上职称</w:t>
      </w:r>
      <w:r>
        <w:rPr>
          <w:rFonts w:hint="eastAsia" w:ascii="宋体" w:cs="宋体"/>
          <w:sz w:val="21"/>
          <w:szCs w:val="21"/>
          <w:lang w:eastAsia="zh-CN"/>
        </w:rPr>
        <w:t>。</w:t>
      </w:r>
    </w:p>
    <w:p>
      <w:pPr>
        <w:spacing w:line="360" w:lineRule="auto"/>
        <w:ind w:right="420" w:rightChars="200" w:firstLine="420" w:firstLineChars="200"/>
        <w:rPr>
          <w:rFonts w:ascii="宋体" w:hAnsi="Times New Roman" w:cs="宋体"/>
          <w:szCs w:val="21"/>
        </w:rPr>
      </w:pPr>
      <w:r>
        <w:rPr>
          <w:rFonts w:ascii="Times New Roman" w:hAnsi="Times New Roman"/>
          <w:szCs w:val="21"/>
        </w:rPr>
        <w:t xml:space="preserve">3.3 </w:t>
      </w:r>
      <w:r>
        <w:rPr>
          <w:rFonts w:hint="eastAsia" w:ascii="Times New Roman" w:hAnsi="Times New Roman"/>
          <w:szCs w:val="21"/>
        </w:rPr>
        <w:t>本次招标</w:t>
      </w:r>
      <w:r>
        <w:rPr>
          <w:rFonts w:hint="eastAsia" w:ascii="Times New Roman" w:hAnsi="Times New Roman"/>
          <w:szCs w:val="21"/>
          <w:u w:val="single"/>
        </w:rPr>
        <w:t>不接受</w:t>
      </w:r>
      <w:r>
        <w:rPr>
          <w:rFonts w:hint="eastAsia" w:ascii="Times New Roman" w:hAnsi="Times New Roman"/>
          <w:szCs w:val="21"/>
        </w:rPr>
        <w:t>联合体投标。</w:t>
      </w:r>
    </w:p>
    <w:p>
      <w:pPr>
        <w:pStyle w:val="3"/>
        <w:spacing w:line="240" w:lineRule="auto"/>
        <w:rPr>
          <w:rFonts w:ascii="Times New Roman" w:hAnsi="Times New Roman"/>
          <w:color w:val="000000"/>
        </w:rPr>
      </w:pPr>
      <w:bookmarkStart w:id="7" w:name="_Toc482188415"/>
      <w:bookmarkStart w:id="8" w:name="_Toc361508565"/>
      <w:bookmarkStart w:id="9" w:name="_Toc384308190"/>
      <w:bookmarkStart w:id="10" w:name="_Toc492300336"/>
      <w:bookmarkStart w:id="11" w:name="_Toc390409512"/>
      <w:r>
        <w:rPr>
          <w:rFonts w:ascii="Times New Roman" w:hAnsi="Times New Roman"/>
          <w:color w:val="000000"/>
        </w:rPr>
        <w:t>4.</w:t>
      </w:r>
      <w:r>
        <w:rPr>
          <w:rFonts w:hint="eastAsia" w:ascii="Times New Roman" w:hAnsi="Times New Roman"/>
          <w:color w:val="000000"/>
        </w:rPr>
        <w:t xml:space="preserve"> 技术成果经济补偿</w:t>
      </w:r>
      <w:bookmarkEnd w:id="7"/>
      <w:bookmarkEnd w:id="8"/>
      <w:bookmarkEnd w:id="9"/>
      <w:bookmarkEnd w:id="10"/>
      <w:bookmarkEnd w:id="11"/>
    </w:p>
    <w:p>
      <w:pPr>
        <w:spacing w:line="400" w:lineRule="exact"/>
        <w:ind w:firstLine="420" w:firstLineChars="200"/>
        <w:rPr>
          <w:color w:val="000000"/>
        </w:rPr>
      </w:pPr>
      <w:r>
        <w:rPr>
          <w:rFonts w:hint="eastAsia"/>
          <w:color w:val="000000"/>
        </w:rPr>
        <w:t>本次招标对未中标人投标文件中的技术成果</w:t>
      </w:r>
      <w:r>
        <w:rPr>
          <w:rFonts w:hint="eastAsia"/>
          <w:color w:val="000000"/>
          <w:u w:val="single"/>
        </w:rPr>
        <w:t>不给予</w:t>
      </w:r>
      <w:r>
        <w:rPr>
          <w:rFonts w:hint="eastAsia"/>
          <w:color w:val="000000"/>
        </w:rPr>
        <w:t>经济补偿。</w:t>
      </w:r>
    </w:p>
    <w:p>
      <w:pPr>
        <w:pStyle w:val="3"/>
        <w:spacing w:line="240" w:lineRule="auto"/>
        <w:rPr>
          <w:rFonts w:ascii="Times New Roman" w:hAnsi="Times New Roman"/>
          <w:color w:val="000000"/>
        </w:rPr>
      </w:pPr>
      <w:bookmarkStart w:id="12" w:name="_Toc492300337"/>
      <w:r>
        <w:rPr>
          <w:rFonts w:ascii="Times New Roman" w:hAnsi="Times New Roman"/>
          <w:color w:val="000000"/>
        </w:rPr>
        <w:t xml:space="preserve">5. </w:t>
      </w:r>
      <w:r>
        <w:rPr>
          <w:rFonts w:hint="eastAsia" w:ascii="Times New Roman" w:hAnsi="Times New Roman"/>
          <w:color w:val="000000"/>
        </w:rPr>
        <w:t>招标文件的获取</w:t>
      </w:r>
      <w:bookmarkEnd w:id="12"/>
    </w:p>
    <w:p>
      <w:pPr>
        <w:spacing w:line="400" w:lineRule="exact"/>
        <w:ind w:firstLine="420" w:firstLineChars="200"/>
        <w:rPr>
          <w:rFonts w:ascii="Times New Roman" w:hAnsi="Times New Roman"/>
        </w:rPr>
      </w:pPr>
      <w:r>
        <w:rPr>
          <w:rFonts w:hint="eastAsia" w:ascii="Times New Roman" w:hAnsi="Times New Roman"/>
        </w:rPr>
        <w:t>5</w:t>
      </w:r>
      <w:r>
        <w:rPr>
          <w:rFonts w:ascii="Times New Roman" w:hAnsi="Times New Roman"/>
        </w:rPr>
        <w:t>.1</w:t>
      </w:r>
      <w:r>
        <w:rPr>
          <w:rFonts w:hint="eastAsia" w:ascii="Times New Roman" w:hAnsi="Times New Roman"/>
        </w:rPr>
        <w:t xml:space="preserve"> 凡有意参加投标者，请于投标文件递交截止时间前到亳州交通投资控股集团有限公司官网（www.bzjkjt.com）自行下载招标文件及其他附件。</w:t>
      </w:r>
    </w:p>
    <w:p>
      <w:pPr>
        <w:pStyle w:val="3"/>
        <w:spacing w:line="240" w:lineRule="auto"/>
        <w:rPr>
          <w:rFonts w:ascii="Times New Roman" w:hAnsi="Times New Roman"/>
          <w:color w:val="000000"/>
        </w:rPr>
      </w:pPr>
      <w:bookmarkStart w:id="13" w:name="_Toc492300338"/>
      <w:r>
        <w:rPr>
          <w:rFonts w:ascii="Times New Roman" w:hAnsi="Times New Roman"/>
          <w:color w:val="000000"/>
        </w:rPr>
        <w:t xml:space="preserve">6. </w:t>
      </w:r>
      <w:r>
        <w:rPr>
          <w:rFonts w:hint="eastAsia" w:ascii="Times New Roman" w:hAnsi="Times New Roman"/>
          <w:color w:val="000000"/>
        </w:rPr>
        <w:t>投标文件的递交</w:t>
      </w:r>
      <w:bookmarkEnd w:id="13"/>
    </w:p>
    <w:p>
      <w:pPr>
        <w:spacing w:line="400" w:lineRule="exact"/>
        <w:ind w:firstLine="420" w:firstLineChars="200"/>
        <w:rPr>
          <w:rFonts w:ascii="Times New Roman" w:hAnsi="Times New Roman"/>
        </w:rPr>
      </w:pPr>
      <w:r>
        <w:rPr>
          <w:rFonts w:hint="eastAsia" w:ascii="Times New Roman" w:hAnsi="Times New Roman"/>
        </w:rPr>
        <w:t>6</w:t>
      </w:r>
      <w:r>
        <w:rPr>
          <w:rFonts w:ascii="Times New Roman" w:hAnsi="Times New Roman"/>
        </w:rPr>
        <w:t>.1 投标文件递交的截止时间（投标截止时间，下同）为</w:t>
      </w:r>
      <w:r>
        <w:rPr>
          <w:rFonts w:hint="eastAsia" w:ascii="Times New Roman" w:hAnsi="Times New Roman"/>
          <w:u w:val="single"/>
          <w:lang w:val="en-US" w:eastAsia="zh-CN"/>
        </w:rPr>
        <w:t>2018</w:t>
      </w:r>
      <w:r>
        <w:rPr>
          <w:rFonts w:ascii="Times New Roman" w:hAnsi="Times New Roman"/>
        </w:rPr>
        <w:t>年</w:t>
      </w:r>
      <w:r>
        <w:rPr>
          <w:rFonts w:hint="eastAsia" w:ascii="Times New Roman" w:hAnsi="Times New Roman"/>
          <w:u w:val="single"/>
          <w:lang w:val="en-US" w:eastAsia="zh-CN"/>
        </w:rPr>
        <w:t>11</w:t>
      </w:r>
      <w:r>
        <w:rPr>
          <w:rFonts w:ascii="Times New Roman" w:hAnsi="Times New Roman"/>
        </w:rPr>
        <w:t>月</w:t>
      </w:r>
      <w:r>
        <w:rPr>
          <w:rFonts w:ascii="Times New Roman" w:hAnsi="Times New Roman"/>
          <w:u w:val="single"/>
        </w:rPr>
        <w:t xml:space="preserve"> </w:t>
      </w:r>
      <w:r>
        <w:rPr>
          <w:rFonts w:hint="eastAsia" w:ascii="Times New Roman" w:hAnsi="Times New Roman"/>
          <w:u w:val="single"/>
          <w:lang w:val="en-US" w:eastAsia="zh-CN"/>
        </w:rPr>
        <w:t>23</w:t>
      </w:r>
      <w:r>
        <w:rPr>
          <w:rFonts w:ascii="Times New Roman" w:hAnsi="Times New Roman"/>
        </w:rPr>
        <w:t>日</w:t>
      </w:r>
      <w:r>
        <w:rPr>
          <w:rFonts w:hint="eastAsia" w:ascii="Times New Roman" w:hAnsi="Times New Roman"/>
          <w:u w:val="single"/>
          <w:lang w:val="en-US" w:eastAsia="zh-CN"/>
        </w:rPr>
        <w:t>13</w:t>
      </w:r>
      <w:r>
        <w:rPr>
          <w:rFonts w:ascii="Times New Roman" w:hAnsi="Times New Roman"/>
        </w:rPr>
        <w:t>时</w:t>
      </w:r>
      <w:r>
        <w:rPr>
          <w:rFonts w:ascii="Times New Roman" w:hAnsi="Times New Roman"/>
          <w:u w:val="single"/>
        </w:rPr>
        <w:t xml:space="preserve"> </w:t>
      </w:r>
      <w:r>
        <w:rPr>
          <w:rFonts w:hint="eastAsia" w:ascii="Times New Roman" w:hAnsi="Times New Roman"/>
          <w:u w:val="single"/>
          <w:lang w:val="en-US" w:eastAsia="zh-CN"/>
        </w:rPr>
        <w:t>0</w:t>
      </w:r>
      <w:r>
        <w:rPr>
          <w:rFonts w:ascii="Times New Roman" w:hAnsi="Times New Roman"/>
        </w:rPr>
        <w:t>分，地点为</w:t>
      </w:r>
      <w:r>
        <w:rPr>
          <w:rFonts w:hint="eastAsia" w:ascii="Times New Roman" w:hAnsi="Times New Roman"/>
          <w:u w:val="single"/>
          <w:shd w:val="clear" w:color="FFFFFF" w:fill="D9D9D9"/>
        </w:rPr>
        <w:t>亳州交通投资控股集团有限公司会议室（药都大道与希夷大道交叉口岸香咖啡</w:t>
      </w:r>
      <w:r>
        <w:rPr>
          <w:rFonts w:hint="eastAsia" w:ascii="Times New Roman" w:hAnsi="Times New Roman"/>
          <w:u w:val="single"/>
          <w:shd w:val="clear" w:color="FFFFFF" w:fill="D9D9D9"/>
          <w:lang w:val="en-US" w:eastAsia="zh-CN"/>
        </w:rPr>
        <w:t>8</w:t>
      </w:r>
      <w:r>
        <w:rPr>
          <w:rFonts w:hint="eastAsia" w:ascii="Times New Roman" w:hAnsi="Times New Roman"/>
          <w:u w:val="single"/>
          <w:shd w:val="clear" w:color="FFFFFF" w:fill="D9D9D9"/>
        </w:rPr>
        <w:t>楼）</w:t>
      </w:r>
      <w:r>
        <w:rPr>
          <w:rFonts w:ascii="Times New Roman" w:hAnsi="Times New Roman"/>
        </w:rPr>
        <w:t>。</w:t>
      </w:r>
    </w:p>
    <w:p>
      <w:pPr>
        <w:spacing w:line="400" w:lineRule="exact"/>
        <w:ind w:firstLine="420" w:firstLineChars="200"/>
        <w:rPr>
          <w:rFonts w:ascii="Times New Roman" w:hAnsi="Times New Roman"/>
        </w:rPr>
      </w:pPr>
      <w:r>
        <w:rPr>
          <w:rFonts w:hint="eastAsia" w:ascii="Times New Roman" w:hAnsi="Times New Roman"/>
        </w:rPr>
        <w:t>6</w:t>
      </w:r>
      <w:r>
        <w:rPr>
          <w:rFonts w:ascii="Times New Roman" w:hAnsi="Times New Roman"/>
        </w:rPr>
        <w:t>.2 逾期送达的、未送达指定地点的或者不按照招标文件要求密封的投标文件，招标人将予以拒收。</w:t>
      </w:r>
    </w:p>
    <w:p>
      <w:pPr>
        <w:pStyle w:val="3"/>
        <w:spacing w:line="240" w:lineRule="auto"/>
        <w:rPr>
          <w:rFonts w:ascii="Times New Roman" w:hAnsi="Times New Roman"/>
          <w:color w:val="000000"/>
        </w:rPr>
      </w:pPr>
      <w:bookmarkStart w:id="14" w:name="_Toc492300339"/>
      <w:r>
        <w:rPr>
          <w:rFonts w:ascii="Times New Roman" w:hAnsi="Times New Roman"/>
          <w:color w:val="000000"/>
        </w:rPr>
        <w:t xml:space="preserve">7. </w:t>
      </w:r>
      <w:r>
        <w:rPr>
          <w:rFonts w:hint="eastAsia" w:ascii="Times New Roman" w:hAnsi="Times New Roman"/>
          <w:color w:val="000000"/>
        </w:rPr>
        <w:t>发布公告的媒介</w:t>
      </w:r>
      <w:bookmarkEnd w:id="14"/>
    </w:p>
    <w:p>
      <w:pPr>
        <w:spacing w:line="400" w:lineRule="exact"/>
        <w:ind w:firstLine="420" w:firstLineChars="200"/>
        <w:rPr>
          <w:rFonts w:ascii="Times New Roman" w:hAnsi="Times New Roman"/>
          <w:color w:val="000000"/>
        </w:rPr>
      </w:pPr>
      <w:r>
        <w:rPr>
          <w:rFonts w:ascii="Times New Roman" w:hAnsi="Times New Roman"/>
          <w:color w:val="000000"/>
        </w:rPr>
        <w:t>本次招标公告同时在</w:t>
      </w:r>
      <w:r>
        <w:rPr>
          <w:rFonts w:hint="eastAsia" w:ascii="Times New Roman" w:hAnsi="Times New Roman"/>
          <w:color w:val="000000"/>
          <w:u w:val="single"/>
        </w:rPr>
        <w:t>亳州交通投资控股集团有限公司官网（www.bzjkjt.com）</w:t>
      </w:r>
      <w:r>
        <w:rPr>
          <w:rFonts w:ascii="Times New Roman" w:hAnsi="Times New Roman"/>
          <w:color w:val="000000"/>
        </w:rPr>
        <w:t>上发布。</w:t>
      </w:r>
    </w:p>
    <w:p>
      <w:pPr>
        <w:pStyle w:val="3"/>
        <w:spacing w:line="240" w:lineRule="auto"/>
        <w:rPr>
          <w:rFonts w:ascii="Times New Roman" w:hAnsi="Times New Roman"/>
          <w:color w:val="000000"/>
        </w:rPr>
      </w:pPr>
      <w:bookmarkStart w:id="15" w:name="_Toc492300340"/>
      <w:r>
        <w:rPr>
          <w:rFonts w:ascii="Times New Roman" w:hAnsi="Times New Roman"/>
          <w:color w:val="000000"/>
        </w:rPr>
        <w:t xml:space="preserve">8. </w:t>
      </w:r>
      <w:r>
        <w:rPr>
          <w:rFonts w:hint="eastAsia" w:ascii="Times New Roman" w:hAnsi="Times New Roman"/>
          <w:color w:val="000000"/>
        </w:rPr>
        <w:t>联系方式</w:t>
      </w:r>
      <w:bookmarkEnd w:id="15"/>
    </w:p>
    <w:bookmarkEnd w:id="0"/>
    <w:bookmarkEnd w:id="1"/>
    <w:bookmarkEnd w:id="2"/>
    <w:p>
      <w:pPr>
        <w:spacing w:line="400" w:lineRule="exact"/>
        <w:jc w:val="right"/>
        <w:rPr>
          <w:rFonts w:ascii="Times New Roman" w:hAnsi="Times New Roman"/>
          <w:color w:val="000000"/>
        </w:rPr>
      </w:pPr>
      <w:bookmarkStart w:id="16" w:name="_Toc369531497"/>
      <w:bookmarkEnd w:id="16"/>
      <w:bookmarkStart w:id="17" w:name="_Toc30817"/>
      <w:bookmarkEnd w:id="17"/>
      <w:bookmarkStart w:id="18" w:name="_Toc144974480"/>
      <w:bookmarkEnd w:id="18"/>
      <w:bookmarkStart w:id="19" w:name="_Toc352691456"/>
      <w:bookmarkEnd w:id="19"/>
      <w:bookmarkStart w:id="20" w:name="_Toc152045512"/>
      <w:bookmarkEnd w:id="20"/>
      <w:bookmarkStart w:id="21" w:name="_Toc10785"/>
      <w:bookmarkEnd w:id="21"/>
      <w:bookmarkStart w:id="22" w:name="_Toc152042289"/>
      <w:bookmarkEnd w:id="22"/>
      <w:bookmarkStart w:id="23" w:name="_Toc369531498"/>
      <w:bookmarkEnd w:id="23"/>
      <w:bookmarkStart w:id="24" w:name="_Toc352691455"/>
      <w:bookmarkEnd w:id="24"/>
      <w:bookmarkStart w:id="25" w:name="_Toc300834929"/>
      <w:bookmarkEnd w:id="25"/>
      <w:bookmarkStart w:id="26" w:name="_Toc300834930"/>
      <w:bookmarkEnd w:id="26"/>
      <w:bookmarkStart w:id="27" w:name="_Toc247527536"/>
      <w:bookmarkEnd w:id="27"/>
      <w:bookmarkStart w:id="28" w:name="_Toc384308188"/>
      <w:bookmarkEnd w:id="28"/>
      <w:bookmarkStart w:id="29" w:name="_Toc17972"/>
      <w:bookmarkEnd w:id="29"/>
      <w:bookmarkStart w:id="30" w:name="_Toc247513934"/>
      <w:bookmarkEnd w:id="30"/>
      <w:bookmarkStart w:id="31" w:name="_Toc384308187"/>
      <w:bookmarkEnd w:id="31"/>
      <w:bookmarkStart w:id="32" w:name="_Toc247527535"/>
      <w:bookmarkEnd w:id="32"/>
      <w:bookmarkStart w:id="33" w:name="_Toc369531495"/>
      <w:bookmarkEnd w:id="33"/>
      <w:bookmarkStart w:id="34" w:name="_Toc361508563"/>
      <w:bookmarkEnd w:id="34"/>
      <w:bookmarkStart w:id="35" w:name="_Toc361508562"/>
      <w:bookmarkEnd w:id="35"/>
      <w:bookmarkStart w:id="36" w:name="_Toc361508560"/>
      <w:bookmarkEnd w:id="36"/>
      <w:bookmarkStart w:id="37" w:name="_Toc384308185"/>
      <w:bookmarkEnd w:id="37"/>
      <w:bookmarkStart w:id="38" w:name="_Toc352691453"/>
      <w:bookmarkEnd w:id="38"/>
      <w:bookmarkStart w:id="39" w:name="_Toc300834927"/>
      <w:bookmarkEnd w:id="39"/>
      <w:bookmarkStart w:id="40" w:name="_Toc152042288"/>
      <w:bookmarkEnd w:id="40"/>
      <w:bookmarkStart w:id="41" w:name="_Toc247513935"/>
      <w:bookmarkEnd w:id="41"/>
      <w:bookmarkStart w:id="42" w:name="_Toc152045513"/>
      <w:bookmarkEnd w:id="42"/>
      <w:bookmarkStart w:id="43" w:name="_Toc144974481"/>
      <w:bookmarkEnd w:id="43"/>
      <w:r>
        <w:rPr>
          <w:rFonts w:ascii="Times New Roman" w:hAnsi="Times New Roman"/>
          <w:color w:val="000000"/>
        </w:rPr>
        <w:t>　　　　　　　</w:t>
      </w:r>
    </w:p>
    <w:p>
      <w:pPr>
        <w:topLinePunct/>
        <w:spacing w:line="400" w:lineRule="exact"/>
        <w:ind w:firstLine="420" w:firstLineChars="200"/>
        <w:rPr>
          <w:szCs w:val="21"/>
        </w:rPr>
      </w:pPr>
      <w:r>
        <w:rPr>
          <w:szCs w:val="21"/>
        </w:rPr>
        <w:t>招 标 人：</w:t>
      </w:r>
      <w:r>
        <w:rPr>
          <w:rFonts w:hint="eastAsia"/>
          <w:szCs w:val="21"/>
          <w:u w:val="single"/>
          <w:lang w:val="en-US" w:eastAsia="zh-CN"/>
        </w:rPr>
        <w:t>亳州交通投资控股集团有限公司</w:t>
      </w:r>
      <w:r>
        <w:rPr>
          <w:szCs w:val="21"/>
        </w:rPr>
        <w:t xml:space="preserve"> </w:t>
      </w:r>
    </w:p>
    <w:p>
      <w:pPr>
        <w:topLinePunct/>
        <w:spacing w:line="400" w:lineRule="exact"/>
        <w:ind w:firstLine="420" w:firstLineChars="200"/>
        <w:rPr>
          <w:szCs w:val="21"/>
        </w:rPr>
      </w:pPr>
      <w:r>
        <w:rPr>
          <w:szCs w:val="21"/>
        </w:rPr>
        <w:t>地    址：</w:t>
      </w:r>
      <w:r>
        <w:rPr>
          <w:rFonts w:hint="eastAsia"/>
          <w:szCs w:val="21"/>
          <w:u w:val="single"/>
          <w:lang w:val="en-US" w:eastAsia="zh-CN"/>
        </w:rPr>
        <w:t>亳州市谯城区药都大道1289号</w:t>
      </w:r>
      <w:r>
        <w:rPr>
          <w:szCs w:val="21"/>
        </w:rPr>
        <w:t xml:space="preserve"> </w:t>
      </w:r>
    </w:p>
    <w:p>
      <w:pPr>
        <w:topLinePunct/>
        <w:spacing w:line="400" w:lineRule="exact"/>
        <w:ind w:firstLine="420" w:firstLineChars="200"/>
        <w:rPr>
          <w:szCs w:val="21"/>
        </w:rPr>
      </w:pPr>
      <w:r>
        <w:rPr>
          <w:szCs w:val="21"/>
        </w:rPr>
        <w:t>邮    编：</w:t>
      </w:r>
      <w:r>
        <w:rPr>
          <w:rFonts w:hint="eastAsia"/>
          <w:szCs w:val="21"/>
          <w:u w:val="single"/>
          <w:lang w:val="en-US" w:eastAsia="zh-CN"/>
        </w:rPr>
        <w:t>236800</w:t>
      </w:r>
      <w:r>
        <w:rPr>
          <w:szCs w:val="21"/>
        </w:rPr>
        <w:t xml:space="preserve">         </w:t>
      </w:r>
    </w:p>
    <w:p>
      <w:pPr>
        <w:topLinePunct/>
        <w:spacing w:line="400" w:lineRule="exact"/>
        <w:ind w:firstLine="420" w:firstLineChars="200"/>
        <w:rPr>
          <w:szCs w:val="21"/>
        </w:rPr>
      </w:pPr>
      <w:r>
        <w:rPr>
          <w:szCs w:val="21"/>
        </w:rPr>
        <w:t>联 系 人：</w:t>
      </w:r>
      <w:r>
        <w:rPr>
          <w:rFonts w:hint="eastAsia"/>
          <w:szCs w:val="21"/>
          <w:u w:val="single"/>
          <w:lang w:val="en-US" w:eastAsia="zh-CN"/>
        </w:rPr>
        <w:t>邓工</w:t>
      </w:r>
      <w:r>
        <w:rPr>
          <w:szCs w:val="21"/>
        </w:rPr>
        <w:t xml:space="preserve">         </w:t>
      </w:r>
    </w:p>
    <w:p>
      <w:pPr>
        <w:topLinePunct/>
        <w:spacing w:line="400" w:lineRule="exact"/>
        <w:ind w:firstLine="420" w:firstLineChars="200"/>
        <w:rPr>
          <w:szCs w:val="21"/>
        </w:rPr>
      </w:pPr>
      <w:r>
        <w:rPr>
          <w:szCs w:val="21"/>
        </w:rPr>
        <w:t>电    话：</w:t>
      </w:r>
      <w:r>
        <w:rPr>
          <w:rFonts w:hint="eastAsia"/>
          <w:szCs w:val="21"/>
          <w:u w:val="single"/>
          <w:lang w:val="en-US" w:eastAsia="zh-CN"/>
        </w:rPr>
        <w:t>0558-5196770</w:t>
      </w:r>
      <w:r>
        <w:rPr>
          <w:szCs w:val="21"/>
        </w:rPr>
        <w:t xml:space="preserve">         </w:t>
      </w:r>
    </w:p>
    <w:p>
      <w:pPr>
        <w:topLinePunct/>
        <w:spacing w:line="400" w:lineRule="exact"/>
        <w:ind w:firstLine="420" w:firstLineChars="200"/>
        <w:rPr>
          <w:szCs w:val="21"/>
        </w:rPr>
      </w:pPr>
      <w:r>
        <w:rPr>
          <w:szCs w:val="21"/>
        </w:rPr>
        <w:t>传    真：</w:t>
      </w:r>
      <w:r>
        <w:rPr>
          <w:rFonts w:hint="eastAsia"/>
          <w:szCs w:val="21"/>
          <w:u w:val="single"/>
        </w:rPr>
        <w:t>0558-5196767</w:t>
      </w:r>
      <w:r>
        <w:rPr>
          <w:szCs w:val="21"/>
        </w:rPr>
        <w:t xml:space="preserve">         </w:t>
      </w:r>
    </w:p>
    <w:p>
      <w:pPr>
        <w:topLinePunct/>
        <w:spacing w:line="400" w:lineRule="exact"/>
        <w:ind w:firstLine="420" w:firstLineChars="200"/>
        <w:rPr>
          <w:szCs w:val="21"/>
        </w:rPr>
      </w:pPr>
      <w:r>
        <w:rPr>
          <w:szCs w:val="21"/>
        </w:rPr>
        <w:t>电子邮件：</w:t>
      </w:r>
      <w:r>
        <w:rPr>
          <w:rFonts w:hint="eastAsia"/>
          <w:szCs w:val="21"/>
          <w:u w:val="single"/>
        </w:rPr>
        <w:t>bzjkjtjjsj@126.com</w:t>
      </w:r>
      <w:r>
        <w:rPr>
          <w:szCs w:val="21"/>
        </w:rPr>
        <w:t xml:space="preserve">         </w:t>
      </w:r>
    </w:p>
    <w:p>
      <w:pPr>
        <w:topLinePunct/>
        <w:spacing w:line="400" w:lineRule="exact"/>
        <w:ind w:firstLine="420" w:firstLineChars="200"/>
        <w:rPr>
          <w:szCs w:val="21"/>
        </w:rPr>
      </w:pPr>
      <w:r>
        <w:rPr>
          <w:szCs w:val="21"/>
        </w:rPr>
        <w:t>网    址：</w:t>
      </w:r>
      <w:r>
        <w:rPr>
          <w:rFonts w:hint="eastAsia"/>
          <w:szCs w:val="21"/>
          <w:u w:val="single"/>
        </w:rPr>
        <w:t>www.bzjkjt.com</w:t>
      </w:r>
      <w:r>
        <w:rPr>
          <w:szCs w:val="21"/>
        </w:rPr>
        <w:t xml:space="preserve">         </w:t>
      </w:r>
    </w:p>
    <w:p>
      <w:pPr>
        <w:topLinePunct/>
        <w:spacing w:line="400" w:lineRule="exact"/>
        <w:ind w:firstLine="420" w:firstLineChars="200"/>
        <w:rPr>
          <w:szCs w:val="21"/>
        </w:rPr>
      </w:pPr>
      <w:r>
        <w:rPr>
          <w:szCs w:val="21"/>
        </w:rPr>
        <w:t>开户银行：</w:t>
      </w:r>
      <w:r>
        <w:rPr>
          <w:rFonts w:hint="eastAsia"/>
          <w:szCs w:val="21"/>
          <w:u w:val="single"/>
          <w:lang w:eastAsia="zh-CN"/>
        </w:rPr>
        <w:t>中国农业银行亳州分行营业</w:t>
      </w:r>
      <w:r>
        <w:rPr>
          <w:rFonts w:hint="eastAsia"/>
          <w:szCs w:val="21"/>
          <w:u w:val="single"/>
          <w:lang w:val="en-US" w:eastAsia="zh-CN"/>
        </w:rPr>
        <w:t>部</w:t>
      </w:r>
      <w:r>
        <w:rPr>
          <w:szCs w:val="21"/>
        </w:rPr>
        <w:t xml:space="preserve">         </w:t>
      </w:r>
    </w:p>
    <w:p>
      <w:pPr>
        <w:spacing w:line="400" w:lineRule="exact"/>
        <w:ind w:firstLine="420" w:firstLineChars="200"/>
        <w:rPr>
          <w:rFonts w:ascii="Times New Roman" w:hAnsi="Times New Roman"/>
          <w:color w:val="000000"/>
        </w:rPr>
      </w:pPr>
      <w:r>
        <w:rPr>
          <w:rFonts w:hint="eastAsia"/>
          <w:szCs w:val="21"/>
        </w:rPr>
        <w:t>账</w:t>
      </w:r>
      <w:r>
        <w:rPr>
          <w:szCs w:val="21"/>
        </w:rPr>
        <w:t xml:space="preserve">    号：</w:t>
      </w:r>
      <w:r>
        <w:rPr>
          <w:rFonts w:hint="eastAsia"/>
          <w:szCs w:val="21"/>
          <w:u w:val="single"/>
          <w:lang w:val="en-US" w:eastAsia="zh-CN"/>
        </w:rPr>
        <w:t>12670801040009482</w:t>
      </w:r>
      <w:r>
        <w:rPr>
          <w:szCs w:val="21"/>
        </w:rPr>
        <w:t xml:space="preserve"> </w:t>
      </w:r>
    </w:p>
    <w:p>
      <w:pPr>
        <w:spacing w:line="400" w:lineRule="exact"/>
        <w:jc w:val="right"/>
        <w:rPr>
          <w:rFonts w:ascii="Times New Roman" w:hAnsi="Times New Roman"/>
          <w:color w:val="000000"/>
          <w:u w:val="single"/>
        </w:rPr>
      </w:pPr>
    </w:p>
    <w:p>
      <w:pPr>
        <w:spacing w:line="400" w:lineRule="exact"/>
        <w:jc w:val="right"/>
        <w:rPr>
          <w:rFonts w:ascii="Times New Roman" w:hAnsi="Times New Roman"/>
          <w:color w:val="000000"/>
          <w:u w:val="single"/>
        </w:rPr>
      </w:pPr>
    </w:p>
    <w:p>
      <w:pPr>
        <w:spacing w:line="400" w:lineRule="exact"/>
        <w:jc w:val="right"/>
        <w:rPr>
          <w:rFonts w:ascii="Times New Roman" w:hAnsi="Times New Roman"/>
          <w:color w:val="000000"/>
          <w:u w:val="single"/>
        </w:rPr>
      </w:pPr>
    </w:p>
    <w:p>
      <w:pPr>
        <w:spacing w:line="400" w:lineRule="exact"/>
        <w:jc w:val="right"/>
        <w:rPr>
          <w:rFonts w:ascii="Times New Roman" w:hAnsi="Times New Roman"/>
          <w:color w:val="000000"/>
          <w:u w:val="single"/>
        </w:rPr>
      </w:pPr>
    </w:p>
    <w:p>
      <w:pPr>
        <w:spacing w:line="400" w:lineRule="exact"/>
        <w:jc w:val="right"/>
        <w:rPr>
          <w:rFonts w:ascii="Times New Roman" w:hAnsi="Times New Roman"/>
          <w:color w:val="000000"/>
        </w:rPr>
      </w:pPr>
      <w:r>
        <w:rPr>
          <w:rFonts w:ascii="Times New Roman" w:hAnsi="Times New Roman"/>
          <w:color w:val="000000"/>
          <w:u w:val="single"/>
        </w:rPr>
        <w:t xml:space="preserve"> </w:t>
      </w:r>
      <w:r>
        <w:rPr>
          <w:rFonts w:hint="eastAsia" w:ascii="Times New Roman" w:hAnsi="Times New Roman"/>
          <w:color w:val="000000"/>
          <w:u w:val="single"/>
          <w:lang w:val="en-US" w:eastAsia="zh-CN"/>
        </w:rPr>
        <w:t>2018</w:t>
      </w:r>
      <w:r>
        <w:rPr>
          <w:rFonts w:ascii="Times New Roman" w:hAnsi="Times New Roman"/>
          <w:color w:val="000000"/>
        </w:rPr>
        <w:t>年</w:t>
      </w:r>
      <w:r>
        <w:rPr>
          <w:rFonts w:ascii="Times New Roman" w:hAnsi="Times New Roman"/>
          <w:color w:val="000000"/>
          <w:u w:val="single"/>
        </w:rPr>
        <w:t xml:space="preserve"> </w:t>
      </w:r>
      <w:r>
        <w:rPr>
          <w:rFonts w:hint="eastAsia" w:ascii="Times New Roman" w:hAnsi="Times New Roman"/>
          <w:color w:val="000000"/>
          <w:u w:val="single"/>
          <w:lang w:val="en-US" w:eastAsia="zh-CN"/>
        </w:rPr>
        <w:t>11</w:t>
      </w:r>
      <w:r>
        <w:rPr>
          <w:rFonts w:ascii="Times New Roman" w:hAnsi="Times New Roman"/>
          <w:color w:val="000000"/>
        </w:rPr>
        <w:t>月</w:t>
      </w:r>
      <w:r>
        <w:rPr>
          <w:rFonts w:ascii="Times New Roman" w:hAnsi="Times New Roman"/>
          <w:color w:val="000000"/>
          <w:u w:val="single"/>
        </w:rPr>
        <w:t xml:space="preserve"> </w:t>
      </w:r>
      <w:r>
        <w:rPr>
          <w:rFonts w:hint="eastAsia" w:ascii="Times New Roman" w:hAnsi="Times New Roman"/>
          <w:color w:val="000000"/>
          <w:u w:val="single"/>
          <w:lang w:val="en-US" w:eastAsia="zh-CN"/>
        </w:rPr>
        <w:t>13</w:t>
      </w:r>
      <w:r>
        <w:rPr>
          <w:rFonts w:ascii="Times New Roman" w:hAnsi="Times New Roman"/>
          <w:color w:val="000000"/>
          <w:u w:val="single"/>
        </w:rPr>
        <w:t xml:space="preserve"> </w:t>
      </w:r>
      <w:r>
        <w:rPr>
          <w:rFonts w:ascii="Times New Roman" w:hAnsi="Times New Roman"/>
          <w:color w:val="000000"/>
        </w:rPr>
        <w:t>日</w:t>
      </w:r>
    </w:p>
    <w:p>
      <w:pPr>
        <w:spacing w:line="400" w:lineRule="exact"/>
        <w:rPr>
          <w:rFonts w:ascii="Times New Roman" w:hAnsi="Times New Roman"/>
          <w:color w:val="000000"/>
        </w:rPr>
      </w:pPr>
    </w:p>
    <w:p>
      <w:pPr>
        <w:pStyle w:val="2"/>
        <w:rPr>
          <w:sz w:val="32"/>
          <w:szCs w:val="32"/>
        </w:rPr>
      </w:pPr>
      <w:bookmarkStart w:id="44" w:name="_Toc152045523"/>
      <w:bookmarkEnd w:id="44"/>
      <w:bookmarkStart w:id="45" w:name="_Toc352691469"/>
      <w:bookmarkEnd w:id="45"/>
      <w:bookmarkStart w:id="46" w:name="_Toc247513948"/>
      <w:bookmarkEnd w:id="46"/>
      <w:bookmarkStart w:id="47" w:name="_Toc300834943"/>
      <w:bookmarkEnd w:id="47"/>
      <w:bookmarkStart w:id="48" w:name="_Toc300834941"/>
      <w:bookmarkEnd w:id="48"/>
      <w:bookmarkStart w:id="49" w:name="_Toc369531509"/>
      <w:bookmarkEnd w:id="49"/>
      <w:bookmarkStart w:id="50" w:name="_Toc152045525"/>
      <w:bookmarkEnd w:id="50"/>
      <w:bookmarkStart w:id="51" w:name="_Toc369531511"/>
      <w:bookmarkEnd w:id="51"/>
      <w:bookmarkStart w:id="52" w:name="_Toc247527549"/>
      <w:bookmarkEnd w:id="52"/>
      <w:bookmarkStart w:id="53" w:name="_Toc14865"/>
      <w:bookmarkEnd w:id="53"/>
      <w:bookmarkStart w:id="54" w:name="_Toc352691467"/>
      <w:bookmarkEnd w:id="54"/>
      <w:bookmarkStart w:id="55" w:name="_Toc152042299"/>
      <w:bookmarkEnd w:id="55"/>
      <w:bookmarkStart w:id="56" w:name="_Toc247513946"/>
      <w:bookmarkEnd w:id="56"/>
      <w:bookmarkStart w:id="57" w:name="_Toc19794"/>
      <w:bookmarkEnd w:id="57"/>
      <w:bookmarkStart w:id="58" w:name="_Toc361508580"/>
      <w:bookmarkEnd w:id="58"/>
      <w:bookmarkStart w:id="59" w:name="_Toc152042301"/>
      <w:bookmarkEnd w:id="59"/>
      <w:bookmarkStart w:id="60" w:name="_Toc361508578"/>
      <w:bookmarkEnd w:id="60"/>
      <w:bookmarkStart w:id="61" w:name="_Toc144974491"/>
      <w:bookmarkEnd w:id="61"/>
      <w:bookmarkStart w:id="62" w:name="_Toc384308203"/>
      <w:bookmarkEnd w:id="62"/>
      <w:bookmarkStart w:id="63" w:name="_Toc384308205"/>
      <w:bookmarkEnd w:id="63"/>
      <w:bookmarkStart w:id="64" w:name="_Toc144974493"/>
      <w:bookmarkEnd w:id="64"/>
      <w:bookmarkStart w:id="65" w:name="_Toc247527547"/>
      <w:bookmarkEnd w:id="65"/>
      <w:bookmarkStart w:id="66" w:name="_Toc492300351"/>
      <w:r>
        <w:rPr>
          <w:rFonts w:hint="eastAsia"/>
          <w:sz w:val="32"/>
          <w:szCs w:val="32"/>
        </w:rPr>
        <w:t>投标人须知</w:t>
      </w:r>
      <w:bookmarkEnd w:id="66"/>
    </w:p>
    <w:p>
      <w:pPr>
        <w:pStyle w:val="3"/>
        <w:rPr>
          <w:rFonts w:ascii="Times New Roman" w:hAnsi="Times New Roman"/>
          <w:color w:val="000000"/>
        </w:rPr>
      </w:pPr>
      <w:bookmarkStart w:id="67" w:name="_Toc492300352"/>
      <w:r>
        <w:rPr>
          <w:rFonts w:hint="eastAsia" w:ascii="Times New Roman" w:hAnsi="Times New Roman"/>
          <w:color w:val="000000"/>
        </w:rPr>
        <w:t>投标人须知前附表</w:t>
      </w:r>
      <w:bookmarkEnd w:id="67"/>
    </w:p>
    <w:tbl>
      <w:tblPr>
        <w:tblStyle w:val="43"/>
        <w:tblW w:w="9322" w:type="dxa"/>
        <w:tblInd w:w="0" w:type="dxa"/>
        <w:tblLayout w:type="fixed"/>
        <w:tblCellMar>
          <w:top w:w="0" w:type="dxa"/>
          <w:left w:w="108" w:type="dxa"/>
          <w:bottom w:w="0" w:type="dxa"/>
          <w:right w:w="108" w:type="dxa"/>
        </w:tblCellMar>
      </w:tblPr>
      <w:tblGrid>
        <w:gridCol w:w="1165"/>
        <w:gridCol w:w="2358"/>
        <w:gridCol w:w="5799"/>
      </w:tblGrid>
      <w:tr>
        <w:tblPrEx>
          <w:tblLayout w:type="fixed"/>
          <w:tblCellMar>
            <w:top w:w="0" w:type="dxa"/>
            <w:left w:w="108" w:type="dxa"/>
            <w:bottom w:w="0" w:type="dxa"/>
            <w:right w:w="108" w:type="dxa"/>
          </w:tblCellMar>
        </w:tblPrEx>
        <w:trPr>
          <w:tblHeader/>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条款号</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条款名称</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编列内容</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1.1.2</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招标人</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名称：</w:t>
            </w:r>
            <w:r>
              <w:rPr>
                <w:rFonts w:hint="eastAsia" w:ascii="Times New Roman" w:hAnsi="Times New Roman"/>
                <w:color w:val="000000"/>
                <w:shd w:val="clear" w:color="FFFFFF" w:fill="D9D9D9"/>
              </w:rPr>
              <w:t>亳州交通投资控股集团有限公司</w:t>
            </w:r>
          </w:p>
          <w:p>
            <w:pPr>
              <w:spacing w:line="440" w:lineRule="exact"/>
              <w:rPr>
                <w:rFonts w:ascii="Times New Roman" w:hAnsi="Times New Roman"/>
                <w:color w:val="000000"/>
              </w:rPr>
            </w:pPr>
            <w:r>
              <w:rPr>
                <w:rFonts w:ascii="Times New Roman" w:hAnsi="Times New Roman"/>
                <w:color w:val="000000"/>
              </w:rPr>
              <w:t>地址：</w:t>
            </w:r>
            <w:r>
              <w:rPr>
                <w:rFonts w:hint="eastAsia"/>
                <w:szCs w:val="21"/>
              </w:rPr>
              <w:t>亳州市谯城区药都大道1289号</w:t>
            </w:r>
          </w:p>
          <w:p>
            <w:pPr>
              <w:spacing w:line="440" w:lineRule="exact"/>
              <w:rPr>
                <w:rFonts w:ascii="Times New Roman" w:hAnsi="Times New Roman"/>
                <w:color w:val="000000"/>
              </w:rPr>
            </w:pPr>
            <w:r>
              <w:rPr>
                <w:rFonts w:ascii="Times New Roman" w:hAnsi="Times New Roman"/>
                <w:color w:val="000000"/>
              </w:rPr>
              <w:t>联系人：</w:t>
            </w:r>
            <w:r>
              <w:rPr>
                <w:rFonts w:hint="eastAsia"/>
                <w:szCs w:val="21"/>
                <w:lang w:eastAsia="zh-CN"/>
              </w:rPr>
              <w:t>邓</w:t>
            </w:r>
            <w:r>
              <w:rPr>
                <w:rFonts w:hint="eastAsia"/>
                <w:szCs w:val="21"/>
              </w:rPr>
              <w:t>工</w:t>
            </w:r>
            <w:r>
              <w:rPr>
                <w:rFonts w:hint="eastAsia"/>
                <w:szCs w:val="21"/>
                <w:lang w:val="en-US" w:eastAsia="zh-CN"/>
              </w:rPr>
              <w:t xml:space="preserve">   </w:t>
            </w:r>
            <w:r>
              <w:rPr>
                <w:rFonts w:ascii="Times New Roman" w:hAnsi="Times New Roman"/>
                <w:color w:val="000000"/>
              </w:rPr>
              <w:t>电话：</w:t>
            </w:r>
            <w:r>
              <w:rPr>
                <w:rFonts w:hint="eastAsia"/>
                <w:szCs w:val="21"/>
              </w:rPr>
              <w:t>0558-5196</w:t>
            </w:r>
            <w:r>
              <w:rPr>
                <w:rFonts w:hint="eastAsia"/>
                <w:szCs w:val="21"/>
                <w:lang w:val="en-US" w:eastAsia="zh-CN"/>
              </w:rPr>
              <w:t>770</w:t>
            </w:r>
            <w:r>
              <w:rPr>
                <w:szCs w:val="21"/>
              </w:rPr>
              <w:t xml:space="preserve"> </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1.1.4</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招标项目名称</w:t>
            </w:r>
          </w:p>
        </w:tc>
        <w:tc>
          <w:tcPr>
            <w:tcW w:w="5799" w:type="dxa"/>
            <w:tcBorders>
              <w:top w:val="single" w:color="auto" w:sz="4" w:space="0"/>
              <w:left w:val="single" w:color="auto" w:sz="4" w:space="0"/>
              <w:bottom w:val="single" w:color="auto" w:sz="4" w:space="0"/>
              <w:right w:val="single" w:color="auto" w:sz="4" w:space="0"/>
            </w:tcBorders>
            <w:vAlign w:val="center"/>
          </w:tcPr>
          <w:p>
            <w:pPr>
              <w:rPr>
                <w:rFonts w:hint="eastAsia" w:ascii="Times New Roman" w:hAnsi="Times New Roman" w:eastAsia="宋体"/>
                <w:color w:val="000000"/>
                <w:lang w:val="en-US" w:eastAsia="zh-CN"/>
              </w:rPr>
            </w:pPr>
            <w:r>
              <w:rPr>
                <w:rFonts w:hint="eastAsia" w:ascii="Times New Roman" w:hAnsi="Times New Roman"/>
                <w:color w:val="000000"/>
              </w:rPr>
              <w:t>亳州公路客运高铁枢纽站项目弱电智能化</w:t>
            </w:r>
            <w:r>
              <w:rPr>
                <w:rFonts w:hint="eastAsia" w:ascii="Times New Roman" w:hAnsi="Times New Roman"/>
                <w:color w:val="000000"/>
                <w:lang w:val="en-US" w:eastAsia="zh-CN"/>
              </w:rPr>
              <w:t>设计</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1.1.5</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项目建设地点</w:t>
            </w:r>
          </w:p>
        </w:tc>
        <w:tc>
          <w:tcPr>
            <w:tcW w:w="57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rPr>
            </w:pPr>
            <w:r>
              <w:rPr>
                <w:rFonts w:hint="eastAsia" w:ascii="Times New Roman" w:hAnsi="Times New Roman"/>
                <w:szCs w:val="21"/>
              </w:rPr>
              <w:t>市经开区，神农大道以西，银杏路以南，酒城大道以北。</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1.1.6</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项目建设规模</w:t>
            </w:r>
          </w:p>
        </w:tc>
        <w:tc>
          <w:tcPr>
            <w:tcW w:w="57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rPr>
            </w:pPr>
            <w:r>
              <w:rPr>
                <w:rFonts w:hint="eastAsia" w:ascii="Times New Roman" w:hAnsi="Times New Roman"/>
                <w:color w:val="000000"/>
              </w:rPr>
              <w:t>高铁枢纽站项目占地13.1万m²，总建筑面积6万m²，设计内容包括长途客运站、公交站场、地面地下停车场、高架落客平台、站前景观广场等。</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1.1.7</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项目投资估算</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6.14亿元</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1.2.1</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资金来源及比例</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shd w:val="clear" w:color="FFFFFF" w:fill="D9D9D9"/>
              </w:rPr>
            </w:pPr>
            <w:r>
              <w:rPr>
                <w:rFonts w:hint="eastAsia" w:ascii="Times New Roman" w:hAnsi="Times New Roman"/>
                <w:color w:val="000000"/>
                <w:shd w:val="clear" w:color="FFFFFF" w:fill="D9D9D9"/>
              </w:rPr>
              <w:t>企业自筹，100%</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1.2.2</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资金落实情况</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shd w:val="clear" w:color="FFFFFF" w:fill="D9D9D9"/>
              </w:rPr>
            </w:pPr>
            <w:r>
              <w:rPr>
                <w:rFonts w:hint="eastAsia" w:ascii="Times New Roman" w:hAnsi="Times New Roman"/>
                <w:color w:val="000000"/>
                <w:shd w:val="clear" w:color="FFFFFF" w:fill="D9D9D9"/>
              </w:rPr>
              <w:t>已落实</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1.3.1</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招标范围</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00" w:lineRule="exact"/>
              <w:ind w:firstLine="404" w:firstLineChars="200"/>
              <w:rPr>
                <w:rFonts w:ascii="Times New Roman" w:hAnsi="Times New Roman"/>
                <w:szCs w:val="21"/>
              </w:rPr>
            </w:pPr>
            <w:r>
              <w:rPr>
                <w:rFonts w:hint="eastAsia" w:hAnsi="宋体"/>
                <w:snapToGrid w:val="0"/>
                <w:spacing w:val="-4"/>
                <w:kern w:val="0"/>
                <w:sz w:val="21"/>
                <w:szCs w:val="21"/>
                <w:u w:val="none"/>
              </w:rPr>
              <w:t>项目总体及各业态运营管理弱电智能化设计（公交区域除外）</w:t>
            </w:r>
            <w:r>
              <w:rPr>
                <w:rFonts w:hint="eastAsia" w:ascii="Times New Roman" w:hAnsi="Times New Roman"/>
                <w:szCs w:val="21"/>
                <w:lang w:eastAsia="zh-CN"/>
              </w:rPr>
              <w:t>，</w:t>
            </w:r>
            <w:r>
              <w:rPr>
                <w:rFonts w:hint="eastAsia" w:ascii="Times New Roman" w:hAnsi="Times New Roman"/>
                <w:szCs w:val="21"/>
              </w:rPr>
              <w:t>含</w:t>
            </w:r>
            <w:r>
              <w:rPr>
                <w:rFonts w:hint="eastAsia" w:ascii="Times New Roman" w:hAnsi="Times New Roman"/>
                <w:szCs w:val="21"/>
                <w:lang w:eastAsia="zh-CN"/>
              </w:rPr>
              <w:t>初步</w:t>
            </w:r>
            <w:r>
              <w:rPr>
                <w:rFonts w:hint="eastAsia" w:ascii="Times New Roman" w:hAnsi="Times New Roman"/>
                <w:szCs w:val="21"/>
              </w:rPr>
              <w:t>方案</w:t>
            </w:r>
            <w:r>
              <w:rPr>
                <w:rFonts w:hint="eastAsia" w:ascii="Times New Roman" w:hAnsi="Times New Roman"/>
                <w:szCs w:val="21"/>
                <w:lang w:val="en-US" w:eastAsia="zh-CN"/>
              </w:rPr>
              <w:t>设计（开标时提交），中标后的</w:t>
            </w:r>
            <w:r>
              <w:rPr>
                <w:rFonts w:hint="eastAsia" w:ascii="Times New Roman" w:hAnsi="Times New Roman"/>
                <w:szCs w:val="21"/>
              </w:rPr>
              <w:t>深化设计、施工图设计，相应设计阶段的审批、图审，施工过程中的设计服务，以及配合业主办理竣工验收，具体详见设计任务书。</w:t>
            </w:r>
          </w:p>
          <w:p>
            <w:pPr>
              <w:rPr>
                <w:rFonts w:ascii="Times New Roman" w:hAnsi="Times New Roman"/>
                <w:color w:val="000000"/>
              </w:rPr>
            </w:pP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1.3.2</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设计服务期限</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lang w:val="en-US" w:eastAsia="zh-CN"/>
              </w:rPr>
              <w:t>自签订合同之日起</w:t>
            </w:r>
            <w:r>
              <w:rPr>
                <w:rFonts w:hint="eastAsia" w:ascii="Times New Roman" w:hAnsi="Times New Roman"/>
                <w:color w:val="000000"/>
              </w:rPr>
              <w:t>至项目验收完成止。</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1.3.3</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质量标准</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lang w:val="en-US" w:eastAsia="zh-CN"/>
              </w:rPr>
            </w:pPr>
            <w:r>
              <w:rPr>
                <w:rFonts w:hint="eastAsia" w:ascii="Times New Roman" w:hAnsi="Times New Roman"/>
                <w:color w:val="000000"/>
                <w:lang w:val="en-US" w:eastAsia="zh-CN"/>
              </w:rPr>
              <w:t>满足现行设计、验收要求，满足行业主管部门标准要求。</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1.4.1</w:t>
            </w:r>
          </w:p>
        </w:tc>
        <w:tc>
          <w:tcPr>
            <w:tcW w:w="235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rPr>
            </w:pPr>
            <w:r>
              <w:rPr>
                <w:rFonts w:ascii="Times New Roman" w:hAnsi="Times New Roman"/>
                <w:color w:val="000000"/>
              </w:rPr>
              <w:t>投标人资质条件、能力、信誉</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rPr>
            </w:pPr>
            <w:r>
              <w:rPr>
                <w:rFonts w:ascii="Times New Roman" w:hAnsi="Times New Roman"/>
              </w:rPr>
              <w:t>（1）资质要求：</w:t>
            </w:r>
            <w:r>
              <w:rPr>
                <w:rFonts w:hint="eastAsia" w:ascii="Times New Roman" w:hAnsi="Times New Roman"/>
                <w:szCs w:val="21"/>
                <w:u w:val="none"/>
              </w:rPr>
              <w:t>建筑智能化专项设计甲级</w:t>
            </w:r>
            <w:r>
              <w:rPr>
                <w:rFonts w:hint="eastAsia" w:ascii="Times New Roman" w:hAnsi="Times New Roman"/>
                <w:szCs w:val="21"/>
              </w:rPr>
              <w:t>资质</w:t>
            </w:r>
          </w:p>
          <w:p>
            <w:pPr>
              <w:spacing w:line="440" w:lineRule="exact"/>
              <w:rPr>
                <w:rFonts w:ascii="Times New Roman" w:hAnsi="Times New Roman"/>
              </w:rPr>
            </w:pPr>
            <w:r>
              <w:rPr>
                <w:rFonts w:ascii="Times New Roman" w:hAnsi="Times New Roman"/>
              </w:rPr>
              <w:t>（</w:t>
            </w:r>
            <w:r>
              <w:rPr>
                <w:rFonts w:hint="eastAsia" w:ascii="Times New Roman" w:hAnsi="Times New Roman"/>
                <w:lang w:val="en-US" w:eastAsia="zh-CN"/>
              </w:rPr>
              <w:t>2</w:t>
            </w:r>
            <w:r>
              <w:rPr>
                <w:rFonts w:ascii="Times New Roman" w:hAnsi="Times New Roman"/>
              </w:rPr>
              <w:t>）业绩要求：</w:t>
            </w:r>
            <w:r>
              <w:rPr>
                <w:rFonts w:hint="eastAsia" w:ascii="Times New Roman" w:hAnsi="Times New Roman"/>
                <w:szCs w:val="21"/>
                <w:u w:val="none"/>
              </w:rPr>
              <w:t>201</w:t>
            </w:r>
            <w:r>
              <w:rPr>
                <w:rFonts w:hint="eastAsia" w:ascii="Times New Roman" w:hAnsi="Times New Roman"/>
                <w:szCs w:val="21"/>
                <w:u w:val="none"/>
                <w:lang w:val="en-US" w:eastAsia="zh-CN"/>
              </w:rPr>
              <w:t>6</w:t>
            </w:r>
            <w:r>
              <w:rPr>
                <w:rFonts w:hint="eastAsia" w:ascii="Times New Roman" w:hAnsi="Times New Roman"/>
                <w:szCs w:val="21"/>
                <w:u w:val="none"/>
              </w:rPr>
              <w:t>年</w:t>
            </w:r>
            <w:r>
              <w:rPr>
                <w:rFonts w:hint="eastAsia" w:ascii="Times New Roman" w:hAnsi="Times New Roman"/>
                <w:szCs w:val="21"/>
                <w:u w:val="none"/>
                <w:lang w:val="en-US" w:eastAsia="zh-CN"/>
              </w:rPr>
              <w:t>1月</w:t>
            </w:r>
            <w:r>
              <w:rPr>
                <w:rFonts w:hint="eastAsia" w:ascii="Times New Roman" w:hAnsi="Times New Roman"/>
                <w:szCs w:val="21"/>
                <w:u w:val="none"/>
              </w:rPr>
              <w:t>以来，具有智能化工程设计（投资控制1000万以上）</w:t>
            </w:r>
            <w:r>
              <w:rPr>
                <w:rFonts w:hint="eastAsia" w:ascii="Times New Roman" w:hAnsi="Times New Roman"/>
                <w:szCs w:val="21"/>
              </w:rPr>
              <w:t>业绩，并在</w:t>
            </w:r>
            <w:r>
              <w:rPr>
                <w:rFonts w:hint="eastAsia" w:ascii="宋体" w:cs="宋体"/>
              </w:rPr>
              <w:t>人员、设备、资金</w:t>
            </w:r>
            <w:r>
              <w:rPr>
                <w:rFonts w:hint="eastAsia" w:ascii="Times New Roman" w:hAnsi="Times New Roman"/>
                <w:szCs w:val="21"/>
              </w:rPr>
              <w:t>方面具有相应的能力。</w:t>
            </w:r>
          </w:p>
          <w:p>
            <w:pPr>
              <w:spacing w:line="440" w:lineRule="exact"/>
              <w:rPr>
                <w:rFonts w:ascii="Times New Roman" w:hAnsi="Times New Roman"/>
              </w:rPr>
            </w:pPr>
            <w:r>
              <w:rPr>
                <w:rFonts w:ascii="Times New Roman" w:hAnsi="Times New Roman"/>
              </w:rPr>
              <w:t>（</w:t>
            </w:r>
            <w:r>
              <w:rPr>
                <w:rFonts w:hint="eastAsia" w:ascii="Times New Roman" w:hAnsi="Times New Roman"/>
                <w:lang w:val="en-US" w:eastAsia="zh-CN"/>
              </w:rPr>
              <w:t>3</w:t>
            </w:r>
            <w:r>
              <w:rPr>
                <w:rFonts w:ascii="Times New Roman" w:hAnsi="Times New Roman"/>
              </w:rPr>
              <w:t>）项目负责人的资格要求：</w:t>
            </w:r>
            <w:r>
              <w:rPr>
                <w:rFonts w:hint="eastAsia" w:ascii="宋体" w:hAnsi="宋体" w:cs="宋体"/>
                <w:sz w:val="21"/>
                <w:szCs w:val="21"/>
              </w:rPr>
              <w:t>具有相关电气（或建筑电气）</w:t>
            </w:r>
            <w:r>
              <w:rPr>
                <w:rFonts w:hint="eastAsia" w:ascii="宋体" w:cs="宋体"/>
                <w:sz w:val="21"/>
                <w:szCs w:val="21"/>
              </w:rPr>
              <w:t>高级工程师及以上职称</w:t>
            </w:r>
            <w:r>
              <w:rPr>
                <w:rFonts w:hint="eastAsia" w:ascii="宋体" w:cs="宋体"/>
                <w:sz w:val="21"/>
                <w:szCs w:val="21"/>
                <w:lang w:eastAsia="zh-CN"/>
              </w:rPr>
              <w:t>。</w:t>
            </w:r>
            <w:bookmarkStart w:id="554" w:name="_GoBack"/>
            <w:bookmarkEnd w:id="554"/>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w:t>
            </w:r>
            <w:r>
              <w:rPr>
                <w:rFonts w:ascii="Times New Roman" w:hAnsi="Times New Roman"/>
              </w:rPr>
              <w:t>4.2</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rPr>
              <w:t>是否接受联合体投标</w:t>
            </w:r>
          </w:p>
        </w:tc>
        <w:tc>
          <w:tcPr>
            <w:tcW w:w="579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olor w:val="000000"/>
                <w:sz w:val="32"/>
              </w:rPr>
            </w:pPr>
            <w:r>
              <w:rPr>
                <w:rFonts w:ascii="Times New Roman" w:hAnsi="Times New Roman"/>
                <w:color w:val="000000"/>
                <w:shd w:val="clear" w:color="FFFFFF" w:fill="D9D9D9"/>
              </w:rPr>
              <w:t>不</w:t>
            </w:r>
            <w:r>
              <w:rPr>
                <w:rFonts w:ascii="Times New Roman" w:hAnsi="Times New Roman"/>
                <w:shd w:val="clear" w:color="FFFFFF" w:fill="D9D9D9"/>
              </w:rPr>
              <w:t>接受</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shd w:val="clear" w:color="FFFFFF" w:fill="D9D9D9"/>
              </w:rPr>
            </w:pPr>
            <w:r>
              <w:rPr>
                <w:rFonts w:ascii="Times New Roman" w:hAnsi="Times New Roman"/>
                <w:color w:val="000000"/>
                <w:shd w:val="clear" w:color="FFFFFF" w:fill="D9D9D9"/>
              </w:rPr>
              <w:t>1.4.3</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shd w:val="clear" w:color="FFFFFF" w:fill="D9D9D9"/>
              </w:rPr>
            </w:pPr>
            <w:r>
              <w:rPr>
                <w:rFonts w:ascii="Times New Roman" w:hAnsi="Times New Roman"/>
                <w:color w:val="000000"/>
                <w:szCs w:val="21"/>
                <w:shd w:val="clear" w:color="FFFFFF" w:fill="D9D9D9"/>
              </w:rPr>
              <w:t>投标人不得存在的</w:t>
            </w:r>
            <w:r>
              <w:rPr>
                <w:rFonts w:hint="eastAsia" w:ascii="Times New Roman" w:hAnsi="Times New Roman"/>
                <w:color w:val="000000"/>
                <w:szCs w:val="21"/>
                <w:shd w:val="clear" w:color="FFFFFF" w:fill="D9D9D9"/>
              </w:rPr>
              <w:t>其他</w:t>
            </w:r>
            <w:r>
              <w:rPr>
                <w:rFonts w:ascii="Times New Roman" w:hAnsi="Times New Roman"/>
                <w:color w:val="000000"/>
                <w:szCs w:val="21"/>
                <w:shd w:val="clear" w:color="FFFFFF" w:fill="D9D9D9"/>
              </w:rPr>
              <w:t>情形</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rPr>
            </w:pPr>
            <w:r>
              <w:rPr>
                <w:rFonts w:hint="eastAsia" w:ascii="Times New Roman" w:hAnsi="Times New Roman"/>
              </w:rPr>
              <w:t>（1）为招标人不具有独立法人资格的附属机构（单位）；</w:t>
            </w:r>
          </w:p>
          <w:p>
            <w:pPr>
              <w:spacing w:line="440" w:lineRule="exact"/>
              <w:rPr>
                <w:rFonts w:ascii="Times New Roman" w:hAnsi="Times New Roman"/>
              </w:rPr>
            </w:pPr>
            <w:r>
              <w:rPr>
                <w:rFonts w:hint="eastAsia" w:ascii="Times New Roman" w:hAnsi="Times New Roman"/>
              </w:rPr>
              <w:t>（2）为本标段前期准备提供设计或咨询服务的，但设计施工总承包的除外；（3）为本标段的监理人；（4）为本标段的代建人；（5）为本标段提供招标代理服务的；（6）与本标段的监理人或代建人或招标代理机构同为一个法定代表人的；</w:t>
            </w:r>
          </w:p>
          <w:p>
            <w:pPr>
              <w:spacing w:line="440" w:lineRule="exact"/>
              <w:rPr>
                <w:rFonts w:ascii="Times New Roman" w:hAnsi="Times New Roman"/>
                <w:color w:val="000000"/>
                <w:sz w:val="32"/>
              </w:rPr>
            </w:pPr>
            <w:r>
              <w:rPr>
                <w:rFonts w:hint="eastAsia" w:ascii="Times New Roman" w:hAnsi="Times New Roman"/>
              </w:rPr>
              <w:t>（7）与本标段的监理人或代建人或招标代理机构相互控股或参股的；（8）与本标段的监理人或代建人或招标代理机构相互任职或工作的；（9）被责令停业的；（10）被暂停或取消投标资格的；（11）财产被接管或冻结的；（12）在最近三年内有骗取中标或严重违约或重大工程质量问题的。</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w:t>
            </w:r>
            <w:r>
              <w:rPr>
                <w:rFonts w:ascii="Times New Roman" w:hAnsi="Times New Roman"/>
              </w:rPr>
              <w:t>9</w:t>
            </w:r>
            <w:r>
              <w:rPr>
                <w:rFonts w:ascii="Times New Roman" w:hAnsi="Times New Roman"/>
                <w:color w:val="000000"/>
              </w:rPr>
              <w:t>.1</w:t>
            </w:r>
          </w:p>
        </w:tc>
        <w:tc>
          <w:tcPr>
            <w:tcW w:w="235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rPr>
            </w:pPr>
            <w:r>
              <w:rPr>
                <w:rFonts w:ascii="Times New Roman" w:hAnsi="Times New Roman" w:eastAsiaTheme="minorEastAsia"/>
              </w:rPr>
              <w:t>踏勘现场</w:t>
            </w:r>
          </w:p>
        </w:tc>
        <w:tc>
          <w:tcPr>
            <w:tcW w:w="5799"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sz w:val="21"/>
                <w:szCs w:val="21"/>
              </w:rPr>
            </w:pPr>
            <w:r>
              <w:rPr>
                <w:rFonts w:ascii="Times New Roman" w:hAnsi="Times New Roman"/>
                <w:color w:val="000000"/>
                <w:sz w:val="21"/>
                <w:szCs w:val="21"/>
                <w:shd w:val="clear" w:color="FFFFFF" w:fill="D9D9D9"/>
              </w:rPr>
              <w:t>不组织</w:t>
            </w:r>
            <w:r>
              <w:rPr>
                <w:rFonts w:hint="eastAsia" w:ascii="Times New Roman" w:hAnsi="Times New Roman"/>
                <w:color w:val="000000"/>
                <w:sz w:val="21"/>
                <w:szCs w:val="21"/>
                <w:shd w:val="clear" w:color="FFFFFF" w:fill="D9D9D9"/>
                <w:lang w:eastAsia="zh-CN"/>
              </w:rPr>
              <w:t>，</w:t>
            </w:r>
            <w:r>
              <w:rPr>
                <w:rFonts w:hint="eastAsia" w:ascii="Times New Roman" w:hAnsi="Times New Roman"/>
                <w:color w:val="000000"/>
                <w:sz w:val="21"/>
                <w:szCs w:val="21"/>
                <w:lang w:val="en-US" w:eastAsia="zh-CN"/>
              </w:rPr>
              <w:t>自行踏勘</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shd w:val="clear" w:color="FFFFFF" w:fill="D9D9D9"/>
              </w:rPr>
            </w:pPr>
            <w:r>
              <w:rPr>
                <w:rFonts w:ascii="Times New Roman" w:hAnsi="Times New Roman"/>
                <w:color w:val="000000"/>
                <w:shd w:val="clear" w:color="FFFFFF" w:fill="D9D9D9"/>
              </w:rPr>
              <w:t>1.</w:t>
            </w:r>
            <w:r>
              <w:rPr>
                <w:rFonts w:ascii="Times New Roman" w:hAnsi="Times New Roman"/>
                <w:shd w:val="clear" w:color="FFFFFF" w:fill="D9D9D9"/>
              </w:rPr>
              <w:t>10</w:t>
            </w:r>
            <w:r>
              <w:rPr>
                <w:rFonts w:ascii="Times New Roman" w:hAnsi="Times New Roman"/>
                <w:color w:val="000000"/>
                <w:shd w:val="clear" w:color="FFFFFF" w:fill="D9D9D9"/>
              </w:rPr>
              <w:t>.1</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shd w:val="clear" w:color="FFFFFF" w:fill="D9D9D9"/>
              </w:rPr>
            </w:pPr>
            <w:r>
              <w:rPr>
                <w:rFonts w:ascii="Times New Roman" w:hAnsi="Times New Roman"/>
                <w:color w:val="000000"/>
                <w:shd w:val="clear" w:color="FFFFFF" w:fill="D9D9D9"/>
              </w:rPr>
              <w:t>投标预备会</w:t>
            </w:r>
          </w:p>
        </w:tc>
        <w:tc>
          <w:tcPr>
            <w:tcW w:w="5799"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shd w:val="clear" w:color="FFFFFF" w:fill="D9D9D9"/>
              </w:rPr>
            </w:pPr>
            <w:r>
              <w:rPr>
                <w:rFonts w:ascii="Times New Roman" w:hAnsi="Times New Roman"/>
                <w:color w:val="000000"/>
                <w:sz w:val="21"/>
                <w:szCs w:val="22"/>
                <w:shd w:val="clear" w:color="FFFFFF" w:fill="D9D9D9"/>
              </w:rPr>
              <w:t>不召开</w:t>
            </w:r>
          </w:p>
        </w:tc>
      </w:tr>
      <w:tr>
        <w:tblPrEx>
          <w:tblLayout w:type="fixed"/>
          <w:tblCellMar>
            <w:top w:w="0" w:type="dxa"/>
            <w:left w:w="108" w:type="dxa"/>
            <w:bottom w:w="0" w:type="dxa"/>
            <w:right w:w="108" w:type="dxa"/>
          </w:tblCellMar>
        </w:tblPrEx>
        <w:tc>
          <w:tcPr>
            <w:tcW w:w="1165" w:type="dxa"/>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1.10.3</w:t>
            </w:r>
          </w:p>
        </w:tc>
        <w:tc>
          <w:tcPr>
            <w:tcW w:w="2358" w:type="dxa"/>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招标文件澄清发出的形式</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招标文件的澄清通过亳州交通投资控股集团有限公司官网（www.bzjkjt.com）进行发布。</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eastAsiaTheme="minorEastAsia"/>
                <w:color w:val="000000"/>
              </w:rPr>
              <w:t>1.11.1</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eastAsiaTheme="minorEastAsia"/>
                <w:color w:val="000000"/>
                <w:szCs w:val="21"/>
              </w:rPr>
              <w:t>分包</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szCs w:val="21"/>
              </w:rPr>
            </w:pPr>
            <w:r>
              <w:rPr>
                <w:rFonts w:ascii="Times New Roman" w:hAnsi="Times New Roman"/>
                <w:szCs w:val="21"/>
                <w:shd w:val="clear" w:color="FFFFFF" w:fill="D9D9D9"/>
              </w:rPr>
              <w:t>不允许</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1.12.3</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偏差</w:t>
            </w:r>
          </w:p>
        </w:tc>
        <w:tc>
          <w:tcPr>
            <w:tcW w:w="5799" w:type="dxa"/>
            <w:tcBorders>
              <w:top w:val="single" w:color="auto" w:sz="4" w:space="0"/>
              <w:left w:val="single" w:color="auto" w:sz="4" w:space="0"/>
              <w:bottom w:val="single" w:color="auto" w:sz="4" w:space="0"/>
              <w:right w:val="single" w:color="auto" w:sz="4" w:space="0"/>
            </w:tcBorders>
          </w:tcPr>
          <w:p>
            <w:pPr>
              <w:spacing w:line="440" w:lineRule="exact"/>
              <w:rPr>
                <w:rFonts w:ascii="Times New Roman" w:hAnsi="Times New Roman"/>
                <w:sz w:val="21"/>
                <w:szCs w:val="22"/>
              </w:rPr>
            </w:pPr>
            <w:r>
              <w:rPr>
                <w:rFonts w:ascii="Times New Roman" w:hAnsi="Times New Roman"/>
                <w:szCs w:val="21"/>
                <w:shd w:val="clear" w:color="FFFFFF" w:fill="D9D9D9"/>
              </w:rPr>
              <w:t>不允许</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w:t>
            </w:r>
          </w:p>
        </w:tc>
        <w:tc>
          <w:tcPr>
            <w:tcW w:w="235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构成招标文件的其他资料</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招标人发出的澄清、修改及补充文件等。</w:t>
            </w:r>
          </w:p>
        </w:tc>
      </w:tr>
      <w:tr>
        <w:tblPrEx>
          <w:tblLayout w:type="fixed"/>
          <w:tblCellMar>
            <w:top w:w="0" w:type="dxa"/>
            <w:left w:w="108" w:type="dxa"/>
            <w:bottom w:w="0" w:type="dxa"/>
            <w:right w:w="108" w:type="dxa"/>
          </w:tblCellMar>
        </w:tblPrEx>
        <w:tc>
          <w:tcPr>
            <w:tcW w:w="1165" w:type="dxa"/>
            <w:vMerge w:val="restart"/>
            <w:tcBorders>
              <w:top w:val="single" w:color="auto" w:sz="4" w:space="0"/>
              <w:left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2.2.1</w:t>
            </w:r>
          </w:p>
        </w:tc>
        <w:tc>
          <w:tcPr>
            <w:tcW w:w="2358"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color w:val="000000"/>
              </w:rPr>
            </w:pPr>
            <w:r>
              <w:rPr>
                <w:rFonts w:ascii="Times New Roman" w:hAnsi="Times New Roman"/>
                <w:color w:val="000000"/>
              </w:rPr>
              <w:t>投标人要求澄清招标文件</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时间：投标截止时间3日前</w:t>
            </w:r>
          </w:p>
        </w:tc>
      </w:tr>
      <w:tr>
        <w:tblPrEx>
          <w:tblLayout w:type="fixed"/>
          <w:tblCellMar>
            <w:top w:w="0" w:type="dxa"/>
            <w:left w:w="108" w:type="dxa"/>
            <w:bottom w:w="0" w:type="dxa"/>
            <w:right w:w="108" w:type="dxa"/>
          </w:tblCellMar>
        </w:tblPrEx>
        <w:tc>
          <w:tcPr>
            <w:tcW w:w="1165"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358"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形式：投标人如对招标文件有任何疑问均应在此时间以前与招标人或招标代理机构联系，递交纸质材料。否则，投标人无权再因为招标文件等与投标有关的资料而提出异议、投诉。</w:t>
            </w:r>
          </w:p>
        </w:tc>
      </w:tr>
      <w:tr>
        <w:tblPrEx>
          <w:tblLayout w:type="fixed"/>
          <w:tblCellMar>
            <w:top w:w="0" w:type="dxa"/>
            <w:left w:w="108" w:type="dxa"/>
            <w:bottom w:w="0" w:type="dxa"/>
            <w:right w:w="108" w:type="dxa"/>
          </w:tblCellMar>
        </w:tblPrEx>
        <w:tc>
          <w:tcPr>
            <w:tcW w:w="1165" w:type="dxa"/>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2.2.2</w:t>
            </w:r>
          </w:p>
        </w:tc>
        <w:tc>
          <w:tcPr>
            <w:tcW w:w="2358" w:type="dxa"/>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招标文件澄清发出的形式</w:t>
            </w:r>
          </w:p>
        </w:tc>
        <w:tc>
          <w:tcPr>
            <w:tcW w:w="579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招标文件的澄清通过亳州交通投资控股集团有限公司官网（www.bzjkjt.com）进行发布。</w:t>
            </w:r>
          </w:p>
        </w:tc>
      </w:tr>
    </w:tbl>
    <w:p>
      <w:r>
        <w:br w:type="page"/>
      </w:r>
    </w:p>
    <w:tbl>
      <w:tblPr>
        <w:tblStyle w:val="43"/>
        <w:tblW w:w="9322" w:type="dxa"/>
        <w:tblInd w:w="0" w:type="dxa"/>
        <w:tblLayout w:type="fixed"/>
        <w:tblCellMar>
          <w:top w:w="0" w:type="dxa"/>
          <w:left w:w="108" w:type="dxa"/>
          <w:bottom w:w="0" w:type="dxa"/>
          <w:right w:w="108" w:type="dxa"/>
        </w:tblCellMar>
      </w:tblPr>
      <w:tblGrid>
        <w:gridCol w:w="1165"/>
        <w:gridCol w:w="3284"/>
        <w:gridCol w:w="4873"/>
      </w:tblGrid>
      <w:tr>
        <w:tblPrEx>
          <w:tblLayout w:type="fixed"/>
          <w:tblCellMar>
            <w:top w:w="0" w:type="dxa"/>
            <w:left w:w="108" w:type="dxa"/>
            <w:bottom w:w="0" w:type="dxa"/>
            <w:right w:w="108" w:type="dxa"/>
          </w:tblCellMar>
        </w:tblPrEx>
        <w:trPr>
          <w:tblHeader/>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条款号</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条款名称</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编列内容</w:t>
            </w:r>
          </w:p>
        </w:tc>
      </w:tr>
      <w:tr>
        <w:tblPrEx>
          <w:tblLayout w:type="fixed"/>
          <w:tblCellMar>
            <w:top w:w="0" w:type="dxa"/>
            <w:left w:w="108" w:type="dxa"/>
            <w:bottom w:w="0" w:type="dxa"/>
            <w:right w:w="108" w:type="dxa"/>
          </w:tblCellMar>
        </w:tblPrEx>
        <w:tc>
          <w:tcPr>
            <w:tcW w:w="1165" w:type="dxa"/>
            <w:vMerge w:val="restart"/>
            <w:tcBorders>
              <w:top w:val="single" w:color="auto" w:sz="4" w:space="0"/>
              <w:left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2.2.3</w:t>
            </w:r>
          </w:p>
        </w:tc>
        <w:tc>
          <w:tcPr>
            <w:tcW w:w="3284"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color w:val="000000"/>
              </w:rPr>
            </w:pPr>
            <w:r>
              <w:rPr>
                <w:rFonts w:ascii="Times New Roman" w:hAnsi="Times New Roman"/>
                <w:color w:val="000000"/>
              </w:rPr>
              <w:t>投标人确认收到招标文件澄清</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时间：招标文件的澄清在亳州交通投资控股集团有限公司官网的发布时间，视为投标人确认收到招标文件澄清的时间。</w:t>
            </w:r>
          </w:p>
        </w:tc>
      </w:tr>
      <w:tr>
        <w:tblPrEx>
          <w:tblLayout w:type="fixed"/>
          <w:tblCellMar>
            <w:top w:w="0" w:type="dxa"/>
            <w:left w:w="108" w:type="dxa"/>
            <w:bottom w:w="0" w:type="dxa"/>
            <w:right w:w="108" w:type="dxa"/>
          </w:tblCellMar>
        </w:tblPrEx>
        <w:tc>
          <w:tcPr>
            <w:tcW w:w="1165"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3284"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形式：默认投标人确认收到招标文件的澄清，无需回复通知。</w:t>
            </w:r>
          </w:p>
        </w:tc>
      </w:tr>
      <w:tr>
        <w:tblPrEx>
          <w:tblLayout w:type="fixed"/>
          <w:tblCellMar>
            <w:top w:w="0" w:type="dxa"/>
            <w:left w:w="108" w:type="dxa"/>
            <w:bottom w:w="0" w:type="dxa"/>
            <w:right w:w="108" w:type="dxa"/>
          </w:tblCellMar>
        </w:tblPrEx>
        <w:tc>
          <w:tcPr>
            <w:tcW w:w="1165" w:type="dxa"/>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2.3.1</w:t>
            </w:r>
          </w:p>
        </w:tc>
        <w:tc>
          <w:tcPr>
            <w:tcW w:w="3284" w:type="dxa"/>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招标文件修改发出的形式</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招标文件的修改通过亳州交通投资控股集团有限公司官网（www.bzjkjt.com）进行发布。</w:t>
            </w:r>
          </w:p>
        </w:tc>
      </w:tr>
      <w:tr>
        <w:tblPrEx>
          <w:tblLayout w:type="fixed"/>
          <w:tblCellMar>
            <w:top w:w="0" w:type="dxa"/>
            <w:left w:w="108" w:type="dxa"/>
            <w:bottom w:w="0" w:type="dxa"/>
            <w:right w:w="108" w:type="dxa"/>
          </w:tblCellMar>
        </w:tblPrEx>
        <w:tc>
          <w:tcPr>
            <w:tcW w:w="1165" w:type="dxa"/>
            <w:vMerge w:val="restart"/>
            <w:tcBorders>
              <w:top w:val="single" w:color="auto" w:sz="4" w:space="0"/>
              <w:left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2.3.2</w:t>
            </w:r>
          </w:p>
        </w:tc>
        <w:tc>
          <w:tcPr>
            <w:tcW w:w="3284"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color w:val="000000"/>
              </w:rPr>
            </w:pPr>
            <w:r>
              <w:rPr>
                <w:rFonts w:ascii="Times New Roman" w:hAnsi="Times New Roman"/>
                <w:color w:val="000000"/>
              </w:rPr>
              <w:t>投标人确认收到招标文件修改</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时间：招标文件的修改在亳州交通投资控股集团有限公司官网的发布时间，视为投标人确认收到招标文件修改的时间。</w:t>
            </w:r>
          </w:p>
        </w:tc>
      </w:tr>
      <w:tr>
        <w:tblPrEx>
          <w:tblLayout w:type="fixed"/>
          <w:tblCellMar>
            <w:top w:w="0" w:type="dxa"/>
            <w:left w:w="108" w:type="dxa"/>
            <w:bottom w:w="0" w:type="dxa"/>
            <w:right w:w="108" w:type="dxa"/>
          </w:tblCellMar>
        </w:tblPrEx>
        <w:tc>
          <w:tcPr>
            <w:tcW w:w="1165"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3284" w:type="dxa"/>
            <w:vMerge w:val="continue"/>
            <w:tcBorders>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形式：默认投标人确认收到招标文件的修改，无需回复通知。</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3.1.1</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构成投标文件的其他资料</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投标人的书面澄清、说明和补正（但不得改变投标文件的实质性内容）。</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hint="eastAsia" w:ascii="Times New Roman" w:hAnsi="Times New Roman"/>
                <w:color w:val="000000"/>
              </w:rPr>
              <w:t>3.2.3</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hint="eastAsia" w:ascii="Times New Roman" w:hAnsi="Times New Roman"/>
                <w:color w:val="000000"/>
              </w:rPr>
              <w:t>报价方式</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lang w:val="en-US" w:eastAsia="zh-CN"/>
              </w:rPr>
            </w:pPr>
            <w:r>
              <w:rPr>
                <w:rFonts w:hint="eastAsia" w:ascii="Times New Roman" w:hAnsi="Times New Roman"/>
                <w:color w:val="000000"/>
                <w:lang w:val="en-US" w:eastAsia="zh-CN"/>
              </w:rPr>
              <w:t>按金额报价，最高不得超过最高投标限价</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3.2.</w:t>
            </w:r>
            <w:r>
              <w:rPr>
                <w:rFonts w:hint="eastAsia" w:ascii="Times New Roman" w:hAnsi="Times New Roman"/>
                <w:color w:val="000000"/>
              </w:rPr>
              <w:t>4</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最高投标限价</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lang w:val="en-US" w:eastAsia="zh-CN"/>
              </w:rPr>
            </w:pPr>
            <w:r>
              <w:rPr>
                <w:rFonts w:ascii="Times New Roman" w:hAnsi="Times New Roman"/>
              </w:rPr>
              <w:t>最高投标限价：</w:t>
            </w:r>
            <w:r>
              <w:rPr>
                <w:rFonts w:hint="eastAsia" w:ascii="Times New Roman" w:hAnsi="Times New Roman"/>
              </w:rPr>
              <w:t>拾万元整</w:t>
            </w:r>
            <w:r>
              <w:rPr>
                <w:rFonts w:hint="eastAsia" w:ascii="Times New Roman" w:hAnsi="Times New Roman"/>
                <w:lang w:eastAsia="zh-CN"/>
              </w:rPr>
              <w:t>，</w:t>
            </w:r>
            <w:r>
              <w:rPr>
                <w:rFonts w:hint="eastAsia" w:ascii="Times New Roman" w:hAnsi="Times New Roman"/>
                <w:lang w:val="en-US" w:eastAsia="zh-CN"/>
              </w:rPr>
              <w:t>含税</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3.3.1</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投标有效期</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bookmarkStart w:id="68" w:name="_Toc352691470"/>
            <w:bookmarkStart w:id="69" w:name="_Toc300834946"/>
            <w:bookmarkStart w:id="70" w:name="_Toc384308207"/>
            <w:bookmarkStart w:id="71" w:name="_Toc1789"/>
            <w:bookmarkStart w:id="72" w:name="_Toc369531512"/>
            <w:bookmarkStart w:id="73" w:name="_Toc361508582"/>
            <w:r>
              <w:rPr>
                <w:rFonts w:hint="eastAsia" w:ascii="Times New Roman" w:hAnsi="Times New Roman"/>
                <w:color w:val="000000"/>
              </w:rPr>
              <w:t>投标截止之日起</w:t>
            </w:r>
            <w:r>
              <w:rPr>
                <w:rFonts w:hint="eastAsia" w:ascii="Times New Roman" w:hAnsi="Times New Roman"/>
                <w:color w:val="000000"/>
                <w:shd w:val="clear" w:color="FFFFFF" w:fill="D9D9D9"/>
              </w:rPr>
              <w:t>60</w:t>
            </w:r>
            <w:r>
              <w:rPr>
                <w:rFonts w:hint="eastAsia" w:ascii="Times New Roman" w:hAnsi="Times New Roman"/>
                <w:color w:val="000000"/>
              </w:rPr>
              <w:t>天。</w:t>
            </w:r>
          </w:p>
        </w:tc>
      </w:tr>
      <w:bookmarkEnd w:id="68"/>
      <w:bookmarkEnd w:id="69"/>
      <w:bookmarkEnd w:id="70"/>
      <w:bookmarkEnd w:id="71"/>
      <w:bookmarkEnd w:id="72"/>
      <w:bookmarkEnd w:id="73"/>
      <w:tr>
        <w:tblPrEx>
          <w:tblLayout w:type="fixed"/>
          <w:tblCellMar>
            <w:top w:w="0" w:type="dxa"/>
            <w:left w:w="108" w:type="dxa"/>
            <w:bottom w:w="0" w:type="dxa"/>
            <w:right w:w="108" w:type="dxa"/>
          </w:tblCellMar>
        </w:tblPrEx>
        <w:trPr>
          <w:trHeight w:val="906"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3.4.1</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投标保证金</w:t>
            </w:r>
          </w:p>
        </w:tc>
        <w:tc>
          <w:tcPr>
            <w:tcW w:w="4873"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sz w:val="21"/>
                <w:szCs w:val="22"/>
              </w:rPr>
            </w:pPr>
            <w:r>
              <w:rPr>
                <w:rFonts w:ascii="Times New Roman" w:hAnsi="Times New Roman"/>
                <w:color w:val="000000"/>
                <w:sz w:val="21"/>
                <w:szCs w:val="21"/>
              </w:rPr>
              <w:t>投标保证金的形式：</w:t>
            </w:r>
            <w:r>
              <w:rPr>
                <w:rFonts w:hint="eastAsia" w:ascii="Times New Roman" w:hAnsi="Times New Roman"/>
                <w:color w:val="000000"/>
                <w:sz w:val="21"/>
                <w:szCs w:val="21"/>
              </w:rPr>
              <w:t>银行汇款或转账</w:t>
            </w:r>
          </w:p>
          <w:p>
            <w:pPr>
              <w:pStyle w:val="17"/>
              <w:topLinePunct/>
              <w:spacing w:line="400" w:lineRule="exact"/>
              <w:rPr>
                <w:rFonts w:ascii="Times New Roman" w:hAnsi="Times New Roman"/>
                <w:color w:val="000000"/>
                <w:sz w:val="21"/>
                <w:szCs w:val="21"/>
              </w:rPr>
            </w:pPr>
            <w:r>
              <w:rPr>
                <w:rFonts w:ascii="Times New Roman" w:hAnsi="Times New Roman"/>
                <w:color w:val="000000"/>
                <w:sz w:val="21"/>
                <w:szCs w:val="21"/>
              </w:rPr>
              <w:t>投标保证金的金额：</w:t>
            </w:r>
            <w:r>
              <w:rPr>
                <w:rFonts w:hint="eastAsia" w:ascii="Times New Roman" w:hAnsi="Times New Roman"/>
                <w:color w:val="000000"/>
                <w:sz w:val="21"/>
                <w:szCs w:val="21"/>
              </w:rPr>
              <w:t>人民币（大写）：</w:t>
            </w:r>
            <w:r>
              <w:rPr>
                <w:rFonts w:hint="eastAsia" w:ascii="Times New Roman" w:hAnsi="Times New Roman"/>
                <w:b/>
                <w:bCs/>
                <w:color w:val="000000"/>
                <w:sz w:val="21"/>
                <w:szCs w:val="21"/>
                <w:u w:val="single"/>
              </w:rPr>
              <w:t>贰仟</w:t>
            </w:r>
            <w:r>
              <w:rPr>
                <w:rFonts w:hint="eastAsia" w:ascii="Times New Roman" w:hAnsi="Times New Roman"/>
                <w:color w:val="000000"/>
                <w:sz w:val="21"/>
                <w:szCs w:val="21"/>
              </w:rPr>
              <w:t>元整，（小写）：¥</w:t>
            </w:r>
            <w:r>
              <w:rPr>
                <w:rFonts w:hint="eastAsia" w:ascii="Times New Roman" w:hAnsi="Times New Roman"/>
                <w:b/>
                <w:bCs/>
                <w:color w:val="000000"/>
                <w:sz w:val="21"/>
                <w:szCs w:val="21"/>
                <w:u w:val="single"/>
              </w:rPr>
              <w:t>2000</w:t>
            </w:r>
            <w:r>
              <w:rPr>
                <w:rFonts w:hint="eastAsia" w:ascii="Times New Roman" w:hAnsi="Times New Roman"/>
                <w:color w:val="000000"/>
                <w:sz w:val="21"/>
                <w:szCs w:val="21"/>
              </w:rPr>
              <w:t>元。</w:t>
            </w:r>
          </w:p>
          <w:p>
            <w:pPr>
              <w:pStyle w:val="17"/>
              <w:topLinePunct/>
              <w:spacing w:line="400" w:lineRule="exact"/>
              <w:rPr>
                <w:rFonts w:ascii="Times New Roman" w:hAnsi="Times New Roman"/>
                <w:b/>
                <w:bCs/>
                <w:color w:val="000000"/>
                <w:sz w:val="21"/>
                <w:szCs w:val="21"/>
              </w:rPr>
            </w:pPr>
            <w:r>
              <w:rPr>
                <w:rFonts w:hint="eastAsia" w:ascii="Times New Roman" w:hAnsi="Times New Roman"/>
                <w:b/>
                <w:bCs/>
                <w:color w:val="000000"/>
                <w:sz w:val="21"/>
                <w:szCs w:val="21"/>
              </w:rPr>
              <w:t>收取投标保证金账号的信息：</w:t>
            </w:r>
          </w:p>
          <w:p>
            <w:pPr>
              <w:topLinePunct/>
              <w:spacing w:line="400" w:lineRule="exact"/>
              <w:ind w:firstLine="420" w:firstLineChars="200"/>
              <w:rPr>
                <w:szCs w:val="21"/>
              </w:rPr>
            </w:pPr>
            <w:r>
              <w:rPr>
                <w:szCs w:val="21"/>
              </w:rPr>
              <w:t>招 标 人：</w:t>
            </w:r>
            <w:r>
              <w:rPr>
                <w:rFonts w:hint="eastAsia"/>
                <w:szCs w:val="21"/>
                <w:u w:val="single"/>
                <w:lang w:val="en-US" w:eastAsia="zh-CN"/>
              </w:rPr>
              <w:t>亳州交通投资控股集团有限公司</w:t>
            </w:r>
            <w:r>
              <w:rPr>
                <w:szCs w:val="21"/>
              </w:rPr>
              <w:t xml:space="preserve">  </w:t>
            </w:r>
          </w:p>
          <w:p>
            <w:pPr>
              <w:topLinePunct/>
              <w:spacing w:line="400" w:lineRule="exact"/>
              <w:ind w:firstLine="420" w:firstLineChars="200"/>
              <w:rPr>
                <w:szCs w:val="21"/>
              </w:rPr>
            </w:pPr>
            <w:r>
              <w:rPr>
                <w:szCs w:val="21"/>
              </w:rPr>
              <w:t>开户银行：</w:t>
            </w:r>
            <w:r>
              <w:rPr>
                <w:rFonts w:hint="eastAsia"/>
                <w:szCs w:val="21"/>
                <w:u w:val="single"/>
                <w:lang w:eastAsia="zh-CN"/>
              </w:rPr>
              <w:t>中国农业银行亳州分行营业</w:t>
            </w:r>
            <w:r>
              <w:rPr>
                <w:rFonts w:hint="eastAsia"/>
                <w:szCs w:val="21"/>
                <w:u w:val="single"/>
                <w:lang w:val="en-US" w:eastAsia="zh-CN"/>
              </w:rPr>
              <w:t>部</w:t>
            </w:r>
            <w:r>
              <w:rPr>
                <w:szCs w:val="21"/>
              </w:rPr>
              <w:t xml:space="preserve">         </w:t>
            </w:r>
          </w:p>
          <w:p>
            <w:pPr>
              <w:spacing w:line="400" w:lineRule="exact"/>
              <w:ind w:firstLine="420" w:firstLineChars="200"/>
              <w:rPr>
                <w:rFonts w:ascii="Times New Roman" w:hAnsi="Times New Roman"/>
                <w:color w:val="000000"/>
              </w:rPr>
            </w:pPr>
            <w:r>
              <w:rPr>
                <w:rFonts w:hint="eastAsia"/>
                <w:szCs w:val="21"/>
              </w:rPr>
              <w:t>账</w:t>
            </w:r>
            <w:r>
              <w:rPr>
                <w:szCs w:val="21"/>
              </w:rPr>
              <w:t xml:space="preserve">    号：</w:t>
            </w:r>
            <w:r>
              <w:rPr>
                <w:rFonts w:hint="eastAsia"/>
                <w:szCs w:val="21"/>
                <w:u w:val="single"/>
                <w:lang w:val="en-US" w:eastAsia="zh-CN"/>
              </w:rPr>
              <w:t>12670801040009482</w:t>
            </w:r>
            <w:r>
              <w:rPr>
                <w:szCs w:val="21"/>
              </w:rPr>
              <w:t xml:space="preserve"> </w:t>
            </w:r>
          </w:p>
          <w:p>
            <w:pPr>
              <w:pStyle w:val="17"/>
              <w:topLinePunct/>
              <w:spacing w:line="400" w:lineRule="exact"/>
              <w:rPr>
                <w:rFonts w:ascii="Times New Roman" w:hAnsi="Times New Roman"/>
                <w:b/>
                <w:bCs/>
                <w:color w:val="000000"/>
                <w:sz w:val="21"/>
                <w:szCs w:val="21"/>
              </w:rPr>
            </w:pPr>
            <w:r>
              <w:rPr>
                <w:rFonts w:hint="eastAsia" w:ascii="Times New Roman" w:hAnsi="Times New Roman"/>
                <w:b/>
                <w:bCs/>
                <w:color w:val="000000"/>
                <w:sz w:val="21"/>
                <w:szCs w:val="21"/>
              </w:rPr>
              <w:t>其他要求：</w:t>
            </w:r>
          </w:p>
          <w:p>
            <w:pPr>
              <w:pStyle w:val="17"/>
              <w:topLinePunct/>
              <w:spacing w:line="400" w:lineRule="exact"/>
              <w:ind w:firstLine="420" w:firstLineChars="200"/>
              <w:rPr>
                <w:rFonts w:ascii="Times New Roman" w:hAnsi="Times New Roman"/>
                <w:color w:val="000000"/>
                <w:sz w:val="21"/>
                <w:szCs w:val="21"/>
              </w:rPr>
            </w:pPr>
            <w:r>
              <w:rPr>
                <w:rFonts w:hint="eastAsia" w:ascii="Times New Roman" w:hAnsi="Times New Roman"/>
                <w:color w:val="000000"/>
                <w:sz w:val="21"/>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olor w:val="FF0000"/>
                <w:sz w:val="21"/>
                <w:szCs w:val="21"/>
                <w:u w:val="single"/>
                <w:lang w:val="en-US" w:eastAsia="zh-CN"/>
              </w:rPr>
              <w:t xml:space="preserve">           </w:t>
            </w:r>
            <w:r>
              <w:rPr>
                <w:rFonts w:hint="eastAsia" w:ascii="Times New Roman" w:hAnsi="Times New Roman"/>
                <w:color w:val="000000"/>
                <w:sz w:val="21"/>
                <w:szCs w:val="21"/>
              </w:rPr>
              <w:t>号保证金”，否则，责任自负。</w:t>
            </w:r>
          </w:p>
          <w:p>
            <w:pPr>
              <w:pStyle w:val="17"/>
              <w:topLinePunct/>
              <w:spacing w:line="400" w:lineRule="exact"/>
              <w:rPr>
                <w:rFonts w:ascii="Times New Roman" w:hAnsi="Times New Roman"/>
                <w:color w:val="000000"/>
                <w:sz w:val="21"/>
                <w:szCs w:val="21"/>
              </w:rPr>
            </w:pPr>
            <w:r>
              <w:rPr>
                <w:rFonts w:hint="eastAsia" w:ascii="Times New Roman" w:hAnsi="Times New Roman"/>
                <w:color w:val="000000"/>
                <w:sz w:val="21"/>
                <w:szCs w:val="21"/>
              </w:rPr>
              <w:t>未按时汇入或非投标人基本账户汇出或收款银行账号错误无法判定保证金对应关系的，保证金无效。</w:t>
            </w:r>
          </w:p>
          <w:p>
            <w:pPr>
              <w:pStyle w:val="17"/>
              <w:topLinePunct/>
              <w:spacing w:line="400" w:lineRule="exact"/>
              <w:rPr>
                <w:rFonts w:ascii="Times New Roman" w:hAnsi="Times New Roman"/>
                <w:b/>
                <w:bCs/>
                <w:color w:val="000000"/>
                <w:sz w:val="21"/>
                <w:szCs w:val="21"/>
              </w:rPr>
            </w:pPr>
            <w:r>
              <w:rPr>
                <w:rFonts w:hint="eastAsia" w:ascii="Times New Roman" w:hAnsi="Times New Roman"/>
                <w:b/>
                <w:bCs/>
                <w:color w:val="000000"/>
                <w:sz w:val="21"/>
                <w:szCs w:val="21"/>
              </w:rPr>
              <w:t>投标保证金退还（本金无息）：</w:t>
            </w:r>
          </w:p>
          <w:p>
            <w:pPr>
              <w:pStyle w:val="17"/>
              <w:topLinePunct/>
              <w:spacing w:line="400" w:lineRule="exact"/>
              <w:ind w:firstLine="420" w:firstLineChars="200"/>
              <w:rPr>
                <w:rFonts w:ascii="Times New Roman" w:hAnsi="Times New Roman"/>
                <w:color w:val="000000"/>
                <w:sz w:val="21"/>
                <w:szCs w:val="21"/>
              </w:rPr>
            </w:pPr>
            <w:r>
              <w:rPr>
                <w:rFonts w:hint="eastAsia" w:ascii="Times New Roman" w:hAnsi="Times New Roman"/>
                <w:color w:val="000000"/>
                <w:sz w:val="21"/>
                <w:szCs w:val="21"/>
              </w:rPr>
              <w:t>（1）招标不成功（或开标现场拒收投标文件）的，5日内直接退还至该投标人汇出帐户。</w:t>
            </w:r>
          </w:p>
          <w:p>
            <w:pPr>
              <w:pStyle w:val="17"/>
              <w:topLinePunct/>
              <w:spacing w:line="400" w:lineRule="exact"/>
              <w:ind w:firstLine="420" w:firstLineChars="200"/>
              <w:rPr>
                <w:rFonts w:ascii="Times New Roman" w:hAnsi="Times New Roman"/>
                <w:color w:val="000000"/>
                <w:szCs w:val="22"/>
              </w:rPr>
            </w:pPr>
            <w:r>
              <w:rPr>
                <w:rFonts w:hint="eastAsia" w:ascii="Times New Roman" w:hAnsi="Times New Roman"/>
                <w:color w:val="000000"/>
                <w:sz w:val="21"/>
                <w:szCs w:val="21"/>
              </w:rPr>
              <w:t>（2）中标侯选人公示期满且确定中标人后，未中标人的投标保证金5日内直接退还至该投标人汇出帐户</w:t>
            </w:r>
            <w:r>
              <w:rPr>
                <w:rFonts w:hint="eastAsia" w:ascii="Times New Roman" w:hAnsi="Times New Roman"/>
                <w:color w:val="000000"/>
                <w:sz w:val="21"/>
                <w:szCs w:val="21"/>
                <w:lang w:eastAsia="zh-CN"/>
              </w:rPr>
              <w:t>；</w:t>
            </w:r>
            <w:r>
              <w:rPr>
                <w:rFonts w:hint="eastAsia" w:ascii="Times New Roman" w:hAnsi="Times New Roman"/>
                <w:color w:val="000000"/>
                <w:sz w:val="21"/>
                <w:szCs w:val="21"/>
              </w:rPr>
              <w:t>中标人</w:t>
            </w:r>
            <w:r>
              <w:rPr>
                <w:rFonts w:hint="eastAsia" w:ascii="Times New Roman" w:hAnsi="Times New Roman"/>
                <w:color w:val="000000"/>
                <w:sz w:val="21"/>
                <w:szCs w:val="21"/>
                <w:lang w:eastAsia="zh-CN"/>
              </w:rPr>
              <w:t>签订合同后，</w:t>
            </w:r>
            <w:r>
              <w:rPr>
                <w:rFonts w:hint="eastAsia" w:ascii="Times New Roman" w:hAnsi="Times New Roman"/>
                <w:color w:val="000000"/>
                <w:sz w:val="21"/>
                <w:szCs w:val="21"/>
              </w:rPr>
              <w:t>投标保证金5日内退还至该</w:t>
            </w:r>
            <w:r>
              <w:rPr>
                <w:rFonts w:hint="eastAsia" w:ascii="Times New Roman" w:hAnsi="Times New Roman"/>
                <w:color w:val="000000"/>
                <w:sz w:val="21"/>
                <w:szCs w:val="21"/>
                <w:lang w:eastAsia="zh-CN"/>
              </w:rPr>
              <w:t>中</w:t>
            </w:r>
            <w:r>
              <w:rPr>
                <w:rFonts w:hint="eastAsia" w:ascii="Times New Roman" w:hAnsi="Times New Roman"/>
                <w:color w:val="000000"/>
                <w:sz w:val="21"/>
                <w:szCs w:val="21"/>
              </w:rPr>
              <w:t>标人汇出帐户。</w:t>
            </w:r>
          </w:p>
        </w:tc>
      </w:tr>
      <w:tr>
        <w:tblPrEx>
          <w:tblLayout w:type="fixed"/>
          <w:tblCellMar>
            <w:top w:w="0" w:type="dxa"/>
            <w:left w:w="108" w:type="dxa"/>
            <w:bottom w:w="0" w:type="dxa"/>
            <w:right w:w="108" w:type="dxa"/>
          </w:tblCellMar>
        </w:tblPrEx>
        <w:trPr>
          <w:trHeight w:val="906"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3.4.4</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szCs w:val="21"/>
              </w:rPr>
              <w:t>其他可以不予退还投标保证金的情形</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国家法律法规规定的其他情形。</w:t>
            </w:r>
          </w:p>
        </w:tc>
      </w:tr>
      <w:tr>
        <w:tblPrEx>
          <w:tblLayout w:type="fixed"/>
          <w:tblCellMar>
            <w:top w:w="0" w:type="dxa"/>
            <w:left w:w="108" w:type="dxa"/>
            <w:bottom w:w="0" w:type="dxa"/>
            <w:right w:w="108" w:type="dxa"/>
          </w:tblCellMar>
        </w:tblPrEx>
        <w:trPr>
          <w:trHeight w:val="641"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3.5</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szCs w:val="21"/>
              </w:rPr>
            </w:pPr>
            <w:r>
              <w:rPr>
                <w:rFonts w:ascii="Times New Roman" w:hAnsi="Times New Roman"/>
              </w:rPr>
              <w:t>资格审查资料</w:t>
            </w:r>
            <w:r>
              <w:rPr>
                <w:rFonts w:ascii="Times New Roman" w:hAnsi="Times New Roman"/>
                <w:szCs w:val="21"/>
              </w:rPr>
              <w:t>的特殊要求</w:t>
            </w:r>
          </w:p>
        </w:tc>
        <w:tc>
          <w:tcPr>
            <w:tcW w:w="4873"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szCs w:val="22"/>
              </w:rPr>
            </w:pPr>
            <w:r>
              <w:rPr>
                <w:rFonts w:ascii="Times New Roman" w:hAnsi="Times New Roman"/>
                <w:sz w:val="21"/>
                <w:szCs w:val="22"/>
              </w:rPr>
              <w:t>无</w:t>
            </w:r>
          </w:p>
        </w:tc>
      </w:tr>
      <w:tr>
        <w:tblPrEx>
          <w:tblLayout w:type="fixed"/>
          <w:tblCellMar>
            <w:top w:w="0" w:type="dxa"/>
            <w:left w:w="108" w:type="dxa"/>
            <w:bottom w:w="0" w:type="dxa"/>
            <w:right w:w="108" w:type="dxa"/>
          </w:tblCellMar>
        </w:tblPrEx>
        <w:trPr>
          <w:trHeight w:val="906"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3.5.3</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szCs w:val="21"/>
              </w:rPr>
            </w:pPr>
            <w:r>
              <w:rPr>
                <w:rFonts w:ascii="Times New Roman" w:hAnsi="Times New Roman"/>
              </w:rPr>
              <w:t>近年完成的类似项目情况</w:t>
            </w:r>
            <w:r>
              <w:rPr>
                <w:rFonts w:hint="eastAsia" w:ascii="Times New Roman" w:hAnsi="Times New Roman"/>
              </w:rPr>
              <w:t>的</w:t>
            </w:r>
            <w:r>
              <w:rPr>
                <w:rFonts w:ascii="Times New Roman" w:hAnsi="Times New Roman"/>
              </w:rPr>
              <w:t>时间要求</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40" w:firstLineChars="50"/>
              <w:rPr>
                <w:rFonts w:ascii="Times New Roman" w:hAnsi="Times New Roman"/>
                <w:color w:val="000000"/>
                <w:sz w:val="21"/>
                <w:szCs w:val="21"/>
              </w:rPr>
            </w:pPr>
            <w:r>
              <w:rPr>
                <w:rFonts w:ascii="Times New Roman" w:hAnsi="Times New Roman" w:eastAsia="黑体"/>
                <w:color w:val="000000"/>
                <w:sz w:val="28"/>
                <w:u w:val="single"/>
              </w:rPr>
              <w:t xml:space="preserve"> </w:t>
            </w:r>
            <w:r>
              <w:rPr>
                <w:rFonts w:hint="eastAsia" w:ascii="Times New Roman" w:hAnsi="Times New Roman" w:eastAsia="黑体"/>
                <w:color w:val="000000"/>
                <w:sz w:val="21"/>
                <w:szCs w:val="21"/>
                <w:u w:val="single"/>
              </w:rPr>
              <w:t>201</w:t>
            </w:r>
            <w:r>
              <w:rPr>
                <w:rFonts w:hint="eastAsia" w:ascii="Times New Roman" w:hAnsi="Times New Roman" w:eastAsia="黑体"/>
                <w:color w:val="000000"/>
                <w:sz w:val="21"/>
                <w:szCs w:val="21"/>
                <w:u w:val="single"/>
                <w:lang w:val="en-US" w:eastAsia="zh-CN"/>
              </w:rPr>
              <w:t>6</w:t>
            </w:r>
            <w:r>
              <w:rPr>
                <w:rFonts w:ascii="Times New Roman" w:hAnsi="Times New Roman"/>
                <w:color w:val="000000"/>
                <w:sz w:val="21"/>
                <w:szCs w:val="21"/>
              </w:rPr>
              <w:t>年</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rPr>
              <w:t>1</w:t>
            </w:r>
            <w:r>
              <w:rPr>
                <w:rFonts w:ascii="Times New Roman" w:hAnsi="Times New Roman" w:eastAsia="黑体"/>
                <w:color w:val="000000"/>
                <w:sz w:val="21"/>
                <w:szCs w:val="21"/>
                <w:u w:val="single"/>
              </w:rPr>
              <w:t xml:space="preserve"> </w:t>
            </w:r>
            <w:r>
              <w:rPr>
                <w:rFonts w:ascii="Times New Roman" w:hAnsi="Times New Roman"/>
                <w:color w:val="000000"/>
                <w:sz w:val="21"/>
                <w:szCs w:val="21"/>
              </w:rPr>
              <w:t>月</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rPr>
              <w:t>1</w:t>
            </w:r>
            <w:r>
              <w:rPr>
                <w:rFonts w:ascii="Times New Roman" w:hAnsi="Times New Roman" w:eastAsia="黑体"/>
                <w:color w:val="000000"/>
                <w:sz w:val="21"/>
                <w:szCs w:val="21"/>
                <w:u w:val="single"/>
              </w:rPr>
              <w:t xml:space="preserve"> </w:t>
            </w:r>
            <w:r>
              <w:rPr>
                <w:rFonts w:ascii="Times New Roman" w:hAnsi="Times New Roman"/>
                <w:color w:val="000000"/>
                <w:sz w:val="21"/>
                <w:szCs w:val="21"/>
              </w:rPr>
              <w:t>日</w:t>
            </w:r>
          </w:p>
          <w:p>
            <w:pPr>
              <w:spacing w:line="440" w:lineRule="exact"/>
              <w:ind w:firstLine="525" w:firstLineChars="250"/>
              <w:rPr>
                <w:rFonts w:ascii="Times New Roman" w:hAnsi="Times New Roman"/>
                <w:color w:val="000000"/>
              </w:rPr>
            </w:pPr>
            <w:r>
              <w:rPr>
                <w:rFonts w:ascii="Times New Roman" w:hAnsi="Times New Roman"/>
                <w:color w:val="000000"/>
                <w:sz w:val="21"/>
                <w:szCs w:val="21"/>
              </w:rPr>
              <w:t>至</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rPr>
              <w:t>2018</w:t>
            </w:r>
            <w:r>
              <w:rPr>
                <w:rFonts w:ascii="Times New Roman" w:hAnsi="Times New Roman" w:eastAsia="黑体"/>
                <w:color w:val="000000"/>
                <w:sz w:val="21"/>
                <w:szCs w:val="21"/>
                <w:u w:val="single"/>
              </w:rPr>
              <w:t xml:space="preserve"> </w:t>
            </w:r>
            <w:r>
              <w:rPr>
                <w:rFonts w:ascii="Times New Roman" w:hAnsi="Times New Roman"/>
                <w:color w:val="000000"/>
                <w:sz w:val="21"/>
                <w:szCs w:val="21"/>
              </w:rPr>
              <w:t>年</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rPr>
              <w:t>10</w:t>
            </w:r>
            <w:r>
              <w:rPr>
                <w:rFonts w:ascii="Times New Roman" w:hAnsi="Times New Roman"/>
                <w:color w:val="000000"/>
                <w:sz w:val="21"/>
                <w:szCs w:val="21"/>
              </w:rPr>
              <w:t>月</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rPr>
              <w:t>31</w:t>
            </w:r>
            <w:r>
              <w:rPr>
                <w:rFonts w:ascii="Times New Roman" w:hAnsi="Times New Roman" w:eastAsia="黑体"/>
                <w:color w:val="000000"/>
                <w:sz w:val="21"/>
                <w:szCs w:val="21"/>
                <w:u w:val="single"/>
              </w:rPr>
              <w:t xml:space="preserve"> </w:t>
            </w:r>
            <w:r>
              <w:rPr>
                <w:rFonts w:ascii="Times New Roman" w:hAnsi="Times New Roman"/>
                <w:color w:val="000000"/>
                <w:sz w:val="21"/>
                <w:szCs w:val="21"/>
              </w:rPr>
              <w:t>日</w:t>
            </w:r>
          </w:p>
        </w:tc>
      </w:tr>
      <w:tr>
        <w:tblPrEx>
          <w:tblLayout w:type="fixed"/>
          <w:tblCellMar>
            <w:top w:w="0" w:type="dxa"/>
            <w:left w:w="108" w:type="dxa"/>
            <w:bottom w:w="0" w:type="dxa"/>
            <w:right w:w="108" w:type="dxa"/>
          </w:tblCellMar>
        </w:tblPrEx>
        <w:trPr>
          <w:trHeight w:val="906"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3.5.5</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szCs w:val="21"/>
              </w:rPr>
            </w:pPr>
            <w:r>
              <w:rPr>
                <w:rFonts w:ascii="Times New Roman" w:hAnsi="Times New Roman"/>
              </w:rPr>
              <w:t>近年发生的诉讼及仲裁情况的时间要求</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05" w:firstLineChars="50"/>
              <w:rPr>
                <w:rFonts w:ascii="Times New Roman" w:hAnsi="Times New Roman"/>
                <w:color w:val="000000"/>
                <w:sz w:val="21"/>
                <w:szCs w:val="21"/>
              </w:rPr>
            </w:pP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rPr>
              <w:t>201</w:t>
            </w:r>
            <w:r>
              <w:rPr>
                <w:rFonts w:hint="eastAsia" w:ascii="Times New Roman" w:hAnsi="Times New Roman" w:eastAsia="黑体"/>
                <w:color w:val="000000"/>
                <w:sz w:val="21"/>
                <w:szCs w:val="21"/>
                <w:u w:val="single"/>
                <w:lang w:val="en-US" w:eastAsia="zh-CN"/>
              </w:rPr>
              <w:t>6</w:t>
            </w:r>
            <w:r>
              <w:rPr>
                <w:rFonts w:ascii="Times New Roman" w:hAnsi="Times New Roman" w:eastAsia="黑体"/>
                <w:color w:val="000000"/>
                <w:sz w:val="21"/>
                <w:szCs w:val="21"/>
                <w:u w:val="single"/>
              </w:rPr>
              <w:t xml:space="preserve"> </w:t>
            </w:r>
            <w:r>
              <w:rPr>
                <w:rFonts w:ascii="Times New Roman" w:hAnsi="Times New Roman"/>
                <w:color w:val="000000"/>
                <w:sz w:val="21"/>
                <w:szCs w:val="21"/>
              </w:rPr>
              <w:t>年</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rPr>
              <w:t>1</w:t>
            </w:r>
            <w:r>
              <w:rPr>
                <w:rFonts w:ascii="Times New Roman" w:hAnsi="Times New Roman" w:eastAsia="黑体"/>
                <w:color w:val="000000"/>
                <w:sz w:val="21"/>
                <w:szCs w:val="21"/>
                <w:u w:val="single"/>
              </w:rPr>
              <w:t xml:space="preserve"> </w:t>
            </w:r>
            <w:r>
              <w:rPr>
                <w:rFonts w:ascii="Times New Roman" w:hAnsi="Times New Roman"/>
                <w:color w:val="000000"/>
                <w:sz w:val="21"/>
                <w:szCs w:val="21"/>
              </w:rPr>
              <w:t>月</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rPr>
              <w:t>1</w:t>
            </w:r>
            <w:r>
              <w:rPr>
                <w:rFonts w:ascii="Times New Roman" w:hAnsi="Times New Roman" w:eastAsia="黑体"/>
                <w:color w:val="000000"/>
                <w:sz w:val="21"/>
                <w:szCs w:val="21"/>
                <w:u w:val="single"/>
              </w:rPr>
              <w:t xml:space="preserve"> </w:t>
            </w:r>
            <w:r>
              <w:rPr>
                <w:rFonts w:ascii="Times New Roman" w:hAnsi="Times New Roman"/>
                <w:color w:val="000000"/>
                <w:sz w:val="21"/>
                <w:szCs w:val="21"/>
              </w:rPr>
              <w:t>日</w:t>
            </w:r>
          </w:p>
          <w:p>
            <w:pPr>
              <w:spacing w:line="440" w:lineRule="exact"/>
              <w:ind w:firstLine="525" w:firstLineChars="250"/>
              <w:rPr>
                <w:rFonts w:ascii="Times New Roman" w:hAnsi="Times New Roman"/>
                <w:color w:val="000000"/>
              </w:rPr>
            </w:pPr>
            <w:r>
              <w:rPr>
                <w:rFonts w:ascii="Times New Roman" w:hAnsi="Times New Roman"/>
                <w:color w:val="000000"/>
                <w:sz w:val="21"/>
                <w:szCs w:val="21"/>
              </w:rPr>
              <w:t>至</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rPr>
              <w:t>2018</w:t>
            </w:r>
            <w:r>
              <w:rPr>
                <w:rFonts w:ascii="Times New Roman" w:hAnsi="Times New Roman" w:eastAsia="黑体"/>
                <w:color w:val="000000"/>
                <w:sz w:val="21"/>
                <w:szCs w:val="21"/>
                <w:u w:val="single"/>
              </w:rPr>
              <w:t xml:space="preserve"> </w:t>
            </w:r>
            <w:r>
              <w:rPr>
                <w:rFonts w:ascii="Times New Roman" w:hAnsi="Times New Roman"/>
                <w:color w:val="000000"/>
                <w:sz w:val="21"/>
                <w:szCs w:val="21"/>
              </w:rPr>
              <w:t>年</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rPr>
              <w:t>10</w:t>
            </w:r>
            <w:r>
              <w:rPr>
                <w:rFonts w:ascii="Times New Roman" w:hAnsi="Times New Roman"/>
                <w:color w:val="000000"/>
                <w:sz w:val="21"/>
                <w:szCs w:val="21"/>
              </w:rPr>
              <w:t>月</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rPr>
              <w:t>31</w:t>
            </w:r>
            <w:r>
              <w:rPr>
                <w:rFonts w:ascii="Times New Roman" w:hAnsi="Times New Roman" w:eastAsia="黑体"/>
                <w:color w:val="000000"/>
                <w:sz w:val="21"/>
                <w:szCs w:val="21"/>
                <w:u w:val="single"/>
              </w:rPr>
              <w:t xml:space="preserve"> </w:t>
            </w:r>
            <w:r>
              <w:rPr>
                <w:rFonts w:ascii="Times New Roman" w:hAnsi="Times New Roman"/>
                <w:color w:val="000000"/>
                <w:sz w:val="21"/>
                <w:szCs w:val="21"/>
              </w:rPr>
              <w:t>日</w:t>
            </w:r>
          </w:p>
        </w:tc>
      </w:tr>
      <w:tr>
        <w:tblPrEx>
          <w:tblLayout w:type="fixed"/>
          <w:tblCellMar>
            <w:top w:w="0" w:type="dxa"/>
            <w:left w:w="108" w:type="dxa"/>
            <w:bottom w:w="0" w:type="dxa"/>
            <w:right w:w="108" w:type="dxa"/>
          </w:tblCellMar>
        </w:tblPrEx>
        <w:trPr>
          <w:trHeight w:val="476"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3.6.1</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rPr>
              <w:t>是否允许递交备选投标方案</w:t>
            </w:r>
          </w:p>
        </w:tc>
        <w:tc>
          <w:tcPr>
            <w:tcW w:w="4873"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rPr>
            </w:pPr>
            <w:r>
              <w:rPr>
                <w:rFonts w:ascii="Times New Roman" w:hAnsi="Times New Roman"/>
                <w:sz w:val="21"/>
                <w:szCs w:val="22"/>
                <w:shd w:val="clear" w:color="FFFFFF" w:fill="D9D9D9"/>
              </w:rPr>
              <w:t>不允许</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3.7.3</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投标文件</w:t>
            </w:r>
            <w:r>
              <w:rPr>
                <w:rFonts w:ascii="Times New Roman" w:hAnsi="Times New Roman"/>
              </w:rPr>
              <w:t>副本</w:t>
            </w:r>
            <w:r>
              <w:rPr>
                <w:rFonts w:ascii="Times New Roman" w:hAnsi="Times New Roman"/>
                <w:color w:val="000000"/>
              </w:rPr>
              <w:t>份数及其他要求</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投标文件副本份数：</w:t>
            </w:r>
            <w:r>
              <w:rPr>
                <w:rFonts w:hint="eastAsia" w:ascii="Times New Roman" w:hAnsi="Times New Roman"/>
                <w:b/>
                <w:bCs/>
                <w:color w:val="000000"/>
                <w:u w:val="single"/>
                <w:shd w:val="clear" w:color="FFFFFF" w:fill="D9D9D9"/>
                <w:lang w:eastAsia="zh-CN"/>
              </w:rPr>
              <w:t>叁</w:t>
            </w:r>
            <w:r>
              <w:rPr>
                <w:rFonts w:hint="eastAsia" w:ascii="Times New Roman" w:hAnsi="Times New Roman"/>
                <w:color w:val="000000"/>
              </w:rPr>
              <w:t>份</w:t>
            </w:r>
          </w:p>
          <w:p>
            <w:pPr>
              <w:spacing w:line="440" w:lineRule="exact"/>
              <w:rPr>
                <w:rFonts w:ascii="Times New Roman" w:hAnsi="Times New Roman"/>
                <w:color w:val="000000"/>
              </w:rPr>
            </w:pPr>
            <w:r>
              <w:rPr>
                <w:rFonts w:ascii="Times New Roman" w:hAnsi="Times New Roman"/>
                <w:color w:val="000000"/>
              </w:rPr>
              <w:t>是否要求提交电子版文件：</w:t>
            </w:r>
            <w:r>
              <w:rPr>
                <w:rFonts w:hint="eastAsia" w:ascii="Times New Roman" w:hAnsi="Times New Roman"/>
                <w:color w:val="000000"/>
                <w:lang w:val="en-US" w:eastAsia="zh-CN"/>
              </w:rPr>
              <w:t>提交全部投标文件电子版本（方案需演示讲解）</w:t>
            </w:r>
            <w:r>
              <w:rPr>
                <w:rFonts w:hint="eastAsia" w:ascii="Times New Roman" w:hAnsi="Times New Roman"/>
                <w:color w:val="000000"/>
              </w:rPr>
              <w:t>。</w:t>
            </w:r>
          </w:p>
          <w:p>
            <w:pPr>
              <w:spacing w:line="440" w:lineRule="exact"/>
              <w:rPr>
                <w:rFonts w:ascii="Times New Roman" w:hAnsi="Times New Roman"/>
                <w:color w:val="000000"/>
              </w:rPr>
            </w:pPr>
            <w:r>
              <w:rPr>
                <w:rFonts w:ascii="Times New Roman" w:hAnsi="Times New Roman"/>
                <w:color w:val="000000"/>
              </w:rPr>
              <w:t>其他要求：</w:t>
            </w:r>
          </w:p>
          <w:p>
            <w:pPr>
              <w:spacing w:line="440" w:lineRule="exact"/>
              <w:rPr>
                <w:rFonts w:ascii="Times New Roman" w:hAnsi="Times New Roman"/>
                <w:color w:val="000000"/>
              </w:rPr>
            </w:pPr>
            <w:r>
              <w:rPr>
                <w:rFonts w:hint="eastAsia" w:ascii="Times New Roman" w:hAnsi="Times New Roman"/>
                <w:color w:val="000000"/>
              </w:rPr>
              <w:t>（1）所有正本与副本封装在一个密封袋中，且在投标文件封面标明“正本”或“副本”的字样；</w:t>
            </w:r>
          </w:p>
          <w:p>
            <w:pPr>
              <w:spacing w:line="440" w:lineRule="exact"/>
              <w:rPr>
                <w:rFonts w:ascii="Times New Roman" w:hAnsi="Times New Roman"/>
                <w:color w:val="000000"/>
              </w:rPr>
            </w:pPr>
            <w:r>
              <w:rPr>
                <w:rFonts w:hint="eastAsia" w:ascii="Times New Roman" w:hAnsi="Times New Roman"/>
                <w:color w:val="000000"/>
              </w:rPr>
              <w:t>（2）投标文件应按要求密封，密封袋封口加盖投标单位印章；</w:t>
            </w:r>
          </w:p>
          <w:p>
            <w:pPr>
              <w:spacing w:line="440" w:lineRule="exact"/>
              <w:rPr>
                <w:rFonts w:hint="eastAsia" w:ascii="Times New Roman" w:hAnsi="Times New Roman"/>
                <w:color w:val="000000"/>
              </w:rPr>
            </w:pPr>
            <w:r>
              <w:rPr>
                <w:rFonts w:hint="eastAsia" w:ascii="Times New Roman" w:hAnsi="Times New Roman"/>
                <w:color w:val="000000"/>
              </w:rPr>
              <w:t>（3）投标文件须采用胶粘方式装订，装订应牢固、不易拆散和换页，不得采用活页装订。</w:t>
            </w:r>
          </w:p>
          <w:p>
            <w:pPr>
              <w:spacing w:line="440" w:lineRule="exact"/>
              <w:rPr>
                <w:rFonts w:hint="eastAsia" w:ascii="Times New Roman" w:hAnsi="Times New Roman" w:eastAsia="宋体"/>
                <w:color w:val="000000"/>
                <w:lang w:val="en-US" w:eastAsia="zh-CN"/>
              </w:rPr>
            </w:pPr>
            <w:r>
              <w:rPr>
                <w:rFonts w:hint="eastAsia" w:ascii="Times New Roman" w:hAnsi="Times New Roman"/>
                <w:color w:val="000000"/>
                <w:lang w:val="en-US" w:eastAsia="zh-CN"/>
              </w:rPr>
              <w:t>（4）电子版本装在投标文件封袋内。</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3.7.3A（3）</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olor w:val="000000"/>
              </w:rPr>
            </w:pPr>
            <w:r>
              <w:rPr>
                <w:rFonts w:ascii="Times New Roman" w:hAnsi="Times New Roman"/>
                <w:color w:val="000000"/>
              </w:rPr>
              <w:t>投标文件是否需分册装订</w:t>
            </w:r>
          </w:p>
        </w:tc>
        <w:tc>
          <w:tcPr>
            <w:tcW w:w="4873"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hint="eastAsia" w:ascii="Times New Roman" w:hAnsi="Times New Roman" w:eastAsia="宋体"/>
                <w:color w:val="000000"/>
                <w:lang w:val="en-US" w:eastAsia="zh-CN"/>
              </w:rPr>
            </w:pPr>
            <w:r>
              <w:rPr>
                <w:rFonts w:ascii="Times New Roman" w:hAnsi="Times New Roman"/>
                <w:color w:val="FF0000"/>
              </w:rPr>
              <w:t>分册装订要求</w:t>
            </w:r>
            <w:r>
              <w:rPr>
                <w:rFonts w:ascii="Times New Roman" w:hAnsi="Times New Roman"/>
              </w:rPr>
              <w:t>：</w:t>
            </w:r>
            <w:r>
              <w:rPr>
                <w:rFonts w:hint="eastAsia" w:ascii="Times New Roman" w:hAnsi="Times New Roman"/>
                <w:color w:val="FF0000"/>
                <w:lang w:val="en-US" w:eastAsia="zh-CN"/>
              </w:rPr>
              <w:t>设计方案单独成册，其他资料可汇总成一册，或分类装订</w:t>
            </w:r>
            <w:r>
              <w:rPr>
                <w:rFonts w:hint="eastAsia" w:ascii="Times New Roman" w:hAnsi="Times New Roman"/>
                <w:lang w:val="en-US" w:eastAsia="zh-CN"/>
              </w:rPr>
              <w:t>。</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3.7.3（B）</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olor w:val="000000"/>
              </w:rPr>
            </w:pPr>
            <w:r>
              <w:rPr>
                <w:rFonts w:ascii="Times New Roman" w:hAnsi="Times New Roman"/>
                <w:color w:val="000000"/>
              </w:rPr>
              <w:t>投标文件所附证书证件要求</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加盖单位公章。</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3.7.3（B）</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olor w:val="000000"/>
              </w:rPr>
            </w:pPr>
            <w:r>
              <w:rPr>
                <w:rFonts w:ascii="Times New Roman" w:hAnsi="Times New Roman"/>
                <w:color w:val="000000"/>
              </w:rPr>
              <w:t>投标文件签字或盖章要求</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FF0000"/>
              </w:rPr>
            </w:pPr>
            <w:r>
              <w:rPr>
                <w:rFonts w:hint="eastAsia" w:ascii="Times New Roman" w:hAnsi="Times New Roman"/>
                <w:color w:val="000000"/>
              </w:rPr>
              <w:t>（1）盖章：除另有规定外，投标文件封面、封套封口处及文件中规定盖章处均须加盖投标人公章（鲜章），</w:t>
            </w:r>
            <w:r>
              <w:rPr>
                <w:rFonts w:hint="eastAsia" w:ascii="Times New Roman" w:hAnsi="Times New Roman"/>
                <w:color w:val="FF0000"/>
              </w:rPr>
              <w:t>不得使用其它印章代替，否则其投标无效；</w:t>
            </w:r>
          </w:p>
          <w:p>
            <w:pPr>
              <w:spacing w:line="440" w:lineRule="exact"/>
              <w:rPr>
                <w:rFonts w:ascii="Times New Roman" w:hAnsi="Times New Roman"/>
                <w:color w:val="000000"/>
              </w:rPr>
            </w:pPr>
            <w:r>
              <w:rPr>
                <w:rFonts w:hint="eastAsia" w:ascii="Times New Roman" w:hAnsi="Times New Roman"/>
                <w:color w:val="000000"/>
              </w:rPr>
              <w:t>（2）签字：除文件另有规定外，均应为手写签字，否则其投标无效。</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shd w:val="clear" w:color="FFFFFF" w:fill="D9D9D9"/>
              </w:rPr>
            </w:pPr>
            <w:r>
              <w:rPr>
                <w:rFonts w:ascii="Times New Roman" w:hAnsi="Times New Roman"/>
                <w:color w:val="000000"/>
                <w:shd w:val="clear" w:color="FFFFFF" w:fill="D9D9D9"/>
              </w:rPr>
              <w:t>4.1.1（B）</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olor w:val="000000"/>
                <w:shd w:val="clear" w:color="FFFFFF" w:fill="D9D9D9"/>
              </w:rPr>
            </w:pPr>
            <w:r>
              <w:rPr>
                <w:rFonts w:ascii="Times New Roman" w:hAnsi="Times New Roman"/>
                <w:color w:val="000000"/>
                <w:shd w:val="clear" w:color="FFFFFF" w:fill="D9D9D9"/>
              </w:rPr>
              <w:t>投标文件加密要求</w:t>
            </w:r>
          </w:p>
        </w:tc>
        <w:tc>
          <w:tcPr>
            <w:tcW w:w="4873"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hint="eastAsia" w:ascii="Times New Roman" w:hAnsi="Times New Roman" w:eastAsia="宋体"/>
                <w:color w:val="000000"/>
                <w:sz w:val="32"/>
                <w:lang w:val="en-US" w:eastAsia="zh-CN"/>
              </w:rPr>
            </w:pPr>
            <w:r>
              <w:rPr>
                <w:rFonts w:hint="eastAsia" w:ascii="Times New Roman" w:hAnsi="Times New Roman"/>
                <w:color w:val="000000"/>
                <w:sz w:val="21"/>
                <w:szCs w:val="21"/>
                <w:lang w:val="en-US" w:eastAsia="zh-CN"/>
              </w:rPr>
              <w:t>电子版本不得加密</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rPr>
              <w:t>4.1.2</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shd w:val="clear" w:color="FFFFFF" w:fill="D9D9D9"/>
              </w:rPr>
            </w:pPr>
            <w:r>
              <w:rPr>
                <w:rFonts w:ascii="Times New Roman" w:hAnsi="Times New Roman"/>
              </w:rPr>
              <w:t>封套上应载明的信息</w:t>
            </w:r>
          </w:p>
        </w:tc>
        <w:tc>
          <w:tcPr>
            <w:tcW w:w="4873"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sz w:val="21"/>
                <w:szCs w:val="21"/>
              </w:rPr>
            </w:pPr>
            <w:r>
              <w:rPr>
                <w:rFonts w:ascii="Times New Roman" w:hAnsi="Times New Roman"/>
                <w:color w:val="000000"/>
                <w:sz w:val="21"/>
                <w:szCs w:val="21"/>
              </w:rPr>
              <w:t>招标人名称：</w:t>
            </w:r>
            <w:r>
              <w:rPr>
                <w:rFonts w:hint="eastAsia" w:ascii="Times New Roman" w:hAnsi="Times New Roman"/>
                <w:color w:val="000000"/>
                <w:sz w:val="21"/>
                <w:szCs w:val="21"/>
                <w:shd w:val="clear" w:color="FFFFFF" w:fill="D9D9D9"/>
              </w:rPr>
              <w:t>亳州交通投资控股集团有限公司</w:t>
            </w:r>
          </w:p>
          <w:p>
            <w:pPr>
              <w:pStyle w:val="17"/>
              <w:topLinePunct/>
              <w:spacing w:line="400" w:lineRule="exact"/>
              <w:rPr>
                <w:rFonts w:ascii="Times New Roman" w:hAnsi="Times New Roman"/>
                <w:color w:val="000000"/>
                <w:sz w:val="21"/>
                <w:szCs w:val="21"/>
              </w:rPr>
            </w:pPr>
            <w:r>
              <w:rPr>
                <w:rFonts w:ascii="Times New Roman" w:hAnsi="Times New Roman"/>
                <w:color w:val="000000"/>
                <w:sz w:val="21"/>
                <w:szCs w:val="21"/>
              </w:rPr>
              <w:t>招标人地址：</w:t>
            </w:r>
            <w:r>
              <w:rPr>
                <w:rFonts w:hint="eastAsia" w:ascii="Times New Roman" w:hAnsi="Times New Roman"/>
                <w:color w:val="000000"/>
                <w:sz w:val="21"/>
                <w:szCs w:val="21"/>
                <w:shd w:val="clear" w:color="FFFFFF" w:fill="D9D9D9"/>
              </w:rPr>
              <w:t>亳州市谯城区药都大道1289号</w:t>
            </w:r>
          </w:p>
          <w:p>
            <w:pPr>
              <w:pStyle w:val="17"/>
              <w:topLinePunct/>
              <w:spacing w:line="400" w:lineRule="exact"/>
              <w:rPr>
                <w:rFonts w:ascii="Times New Roman" w:hAnsi="Times New Roman"/>
                <w:color w:val="000000"/>
                <w:sz w:val="21"/>
                <w:szCs w:val="21"/>
              </w:rPr>
            </w:pPr>
            <w:r>
              <w:rPr>
                <w:rFonts w:ascii="Times New Roman" w:hAnsi="Times New Roman"/>
                <w:color w:val="000000"/>
                <w:sz w:val="21"/>
                <w:szCs w:val="21"/>
                <w:u w:val="single"/>
              </w:rPr>
              <w:t xml:space="preserve"> </w:t>
            </w:r>
            <w:r>
              <w:rPr>
                <w:rFonts w:hint="eastAsia" w:ascii="Times New Roman" w:hAnsi="Times New Roman"/>
                <w:color w:val="000000"/>
                <w:sz w:val="21"/>
                <w:szCs w:val="21"/>
                <w:u w:val="single"/>
              </w:rPr>
              <w:t>亳州公路客运高铁枢纽站</w:t>
            </w:r>
            <w:r>
              <w:rPr>
                <w:rFonts w:hint="eastAsia" w:ascii="Times New Roman" w:hAnsi="Times New Roman"/>
                <w:color w:val="000000"/>
                <w:sz w:val="21"/>
                <w:szCs w:val="21"/>
                <w:u w:val="single"/>
                <w:lang w:val="en-US" w:eastAsia="zh-CN"/>
              </w:rPr>
              <w:t>项目</w:t>
            </w:r>
            <w:r>
              <w:rPr>
                <w:rFonts w:hint="eastAsia" w:ascii="Times New Roman" w:hAnsi="Times New Roman"/>
                <w:color w:val="000000"/>
                <w:sz w:val="21"/>
                <w:szCs w:val="21"/>
                <w:u w:val="single"/>
              </w:rPr>
              <w:t>弱电智能化</w:t>
            </w:r>
            <w:r>
              <w:rPr>
                <w:rFonts w:ascii="Times New Roman" w:hAnsi="Times New Roman"/>
                <w:color w:val="000000"/>
                <w:sz w:val="21"/>
                <w:szCs w:val="21"/>
                <w:u w:val="single"/>
              </w:rPr>
              <w:t xml:space="preserve"> 设计</w:t>
            </w:r>
            <w:r>
              <w:rPr>
                <w:rFonts w:hint="eastAsia" w:ascii="Times New Roman" w:hAnsi="Times New Roman"/>
                <w:color w:val="000000"/>
                <w:sz w:val="21"/>
                <w:szCs w:val="21"/>
                <w:lang w:val="en-US" w:eastAsia="zh-CN"/>
              </w:rPr>
              <w:t xml:space="preserve"> </w:t>
            </w:r>
            <w:r>
              <w:rPr>
                <w:rFonts w:ascii="Times New Roman" w:hAnsi="Times New Roman"/>
                <w:color w:val="000000"/>
                <w:sz w:val="21"/>
                <w:szCs w:val="21"/>
              </w:rPr>
              <w:t>投标文件</w:t>
            </w:r>
          </w:p>
          <w:p>
            <w:pPr>
              <w:pStyle w:val="17"/>
              <w:topLinePunct/>
              <w:spacing w:line="400" w:lineRule="exact"/>
              <w:rPr>
                <w:rFonts w:ascii="Times New Roman" w:hAnsi="Times New Roman"/>
                <w:color w:val="000000"/>
                <w:sz w:val="21"/>
                <w:szCs w:val="21"/>
              </w:rPr>
            </w:pPr>
            <w:r>
              <w:rPr>
                <w:rFonts w:ascii="Times New Roman" w:hAnsi="Times New Roman"/>
                <w:color w:val="000000"/>
                <w:sz w:val="21"/>
                <w:szCs w:val="21"/>
              </w:rPr>
              <w:t>招标项目编号：</w:t>
            </w:r>
          </w:p>
          <w:p>
            <w:pPr>
              <w:pStyle w:val="17"/>
              <w:topLinePunct/>
              <w:spacing w:line="400" w:lineRule="exact"/>
              <w:rPr>
                <w:rFonts w:ascii="Times New Roman" w:hAnsi="Times New Roman"/>
                <w:color w:val="000000"/>
                <w:sz w:val="21"/>
                <w:szCs w:val="21"/>
              </w:rPr>
            </w:pPr>
            <w:r>
              <w:rPr>
                <w:rFonts w:ascii="Times New Roman" w:hAnsi="Times New Roman"/>
                <w:color w:val="000000"/>
                <w:sz w:val="21"/>
                <w:szCs w:val="21"/>
              </w:rPr>
              <w:t>在</w:t>
            </w:r>
            <w:r>
              <w:rPr>
                <w:rFonts w:ascii="Times New Roman" w:hAnsi="Times New Roman"/>
                <w:color w:val="000000"/>
                <w:sz w:val="21"/>
                <w:szCs w:val="21"/>
                <w:u w:val="single"/>
              </w:rPr>
              <w:t xml:space="preserve"> </w:t>
            </w:r>
            <w:r>
              <w:rPr>
                <w:rFonts w:hint="eastAsia" w:ascii="Times New Roman" w:hAnsi="Times New Roman"/>
                <w:color w:val="000000"/>
                <w:sz w:val="21"/>
                <w:szCs w:val="21"/>
                <w:u w:val="single"/>
                <w:lang w:val="en-US" w:eastAsia="zh-CN"/>
              </w:rPr>
              <w:t>2018</w:t>
            </w:r>
            <w:r>
              <w:rPr>
                <w:rFonts w:ascii="Times New Roman" w:hAnsi="Times New Roman"/>
                <w:color w:val="000000"/>
                <w:sz w:val="21"/>
                <w:szCs w:val="21"/>
                <w:u w:val="single"/>
              </w:rPr>
              <w:t xml:space="preserve"> </w:t>
            </w:r>
            <w:r>
              <w:rPr>
                <w:rFonts w:ascii="Times New Roman" w:hAnsi="Times New Roman"/>
                <w:color w:val="000000"/>
                <w:sz w:val="21"/>
                <w:szCs w:val="21"/>
              </w:rPr>
              <w:t>年</w:t>
            </w:r>
            <w:r>
              <w:rPr>
                <w:rFonts w:ascii="Times New Roman" w:hAnsi="Times New Roman"/>
                <w:color w:val="000000"/>
                <w:sz w:val="21"/>
                <w:szCs w:val="21"/>
                <w:u w:val="single"/>
              </w:rPr>
              <w:t xml:space="preserve"> </w:t>
            </w:r>
            <w:r>
              <w:rPr>
                <w:rFonts w:hint="eastAsia" w:ascii="Times New Roman" w:hAnsi="Times New Roman"/>
                <w:color w:val="000000"/>
                <w:sz w:val="21"/>
                <w:szCs w:val="21"/>
                <w:u w:val="single"/>
                <w:lang w:val="en-US" w:eastAsia="zh-CN"/>
              </w:rPr>
              <w:t>11</w:t>
            </w:r>
            <w:r>
              <w:rPr>
                <w:rFonts w:ascii="Times New Roman" w:hAnsi="Times New Roman"/>
                <w:color w:val="000000"/>
                <w:sz w:val="21"/>
                <w:szCs w:val="21"/>
              </w:rPr>
              <w:t>月</w:t>
            </w:r>
            <w:r>
              <w:rPr>
                <w:rFonts w:ascii="Times New Roman" w:hAnsi="Times New Roman"/>
                <w:color w:val="000000"/>
                <w:sz w:val="21"/>
                <w:szCs w:val="21"/>
                <w:u w:val="single"/>
              </w:rPr>
              <w:t xml:space="preserve"> </w:t>
            </w:r>
            <w:r>
              <w:rPr>
                <w:rFonts w:hint="eastAsia" w:ascii="Times New Roman" w:hAnsi="Times New Roman"/>
                <w:color w:val="000000"/>
                <w:sz w:val="21"/>
                <w:szCs w:val="21"/>
                <w:u w:val="single"/>
                <w:lang w:val="en-US" w:eastAsia="zh-CN"/>
              </w:rPr>
              <w:t>23</w:t>
            </w:r>
            <w:r>
              <w:rPr>
                <w:rFonts w:ascii="Times New Roman" w:hAnsi="Times New Roman"/>
                <w:color w:val="000000"/>
                <w:sz w:val="21"/>
                <w:szCs w:val="21"/>
              </w:rPr>
              <w:t>日</w:t>
            </w:r>
            <w:r>
              <w:rPr>
                <w:rFonts w:ascii="Times New Roman" w:hAnsi="Times New Roman"/>
                <w:color w:val="000000"/>
                <w:sz w:val="21"/>
                <w:szCs w:val="21"/>
                <w:u w:val="single"/>
              </w:rPr>
              <w:t xml:space="preserve"> </w:t>
            </w:r>
            <w:r>
              <w:rPr>
                <w:rFonts w:hint="eastAsia" w:ascii="Times New Roman" w:hAnsi="Times New Roman"/>
                <w:color w:val="000000"/>
                <w:sz w:val="21"/>
                <w:szCs w:val="21"/>
                <w:u w:val="single"/>
                <w:lang w:val="en-US" w:eastAsia="zh-CN"/>
              </w:rPr>
              <w:t>15</w:t>
            </w:r>
            <w:r>
              <w:rPr>
                <w:rFonts w:ascii="Times New Roman" w:hAnsi="Times New Roman"/>
                <w:color w:val="000000"/>
                <w:sz w:val="21"/>
                <w:szCs w:val="21"/>
              </w:rPr>
              <w:t>时前不得开启</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4.2.1</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投标截止时间</w:t>
            </w:r>
          </w:p>
        </w:tc>
        <w:tc>
          <w:tcPr>
            <w:tcW w:w="4873" w:type="dxa"/>
            <w:tcBorders>
              <w:top w:val="single" w:color="auto" w:sz="4" w:space="0"/>
              <w:left w:val="single" w:color="auto" w:sz="4" w:space="0"/>
              <w:bottom w:val="single" w:color="auto" w:sz="4" w:space="0"/>
              <w:right w:val="single" w:color="auto" w:sz="4" w:space="0"/>
            </w:tcBorders>
            <w:vAlign w:val="center"/>
          </w:tcPr>
          <w:p>
            <w:pPr>
              <w:tabs>
                <w:tab w:val="left" w:pos="818"/>
              </w:tabs>
              <w:spacing w:line="440" w:lineRule="exact"/>
              <w:rPr>
                <w:rFonts w:hint="eastAsia" w:ascii="Times New Roman" w:hAnsi="Times New Roman" w:eastAsia="宋体"/>
                <w:color w:val="000000"/>
                <w:lang w:eastAsia="zh-CN"/>
              </w:rPr>
            </w:pPr>
            <w:r>
              <w:rPr>
                <w:rFonts w:hint="eastAsia" w:ascii="Times New Roman" w:hAnsi="Times New Roman"/>
                <w:color w:val="000000"/>
                <w:lang w:eastAsia="zh-CN"/>
              </w:rPr>
              <w:tab/>
            </w:r>
            <w:r>
              <w:rPr>
                <w:rFonts w:hint="eastAsia" w:ascii="Times New Roman" w:hAnsi="Times New Roman"/>
                <w:color w:val="000000"/>
                <w:sz w:val="21"/>
                <w:szCs w:val="21"/>
                <w:u w:val="single"/>
                <w:lang w:val="en-US" w:eastAsia="zh-CN"/>
              </w:rPr>
              <w:t>2018</w:t>
            </w:r>
            <w:r>
              <w:rPr>
                <w:rFonts w:ascii="Times New Roman" w:hAnsi="Times New Roman"/>
                <w:color w:val="000000"/>
                <w:sz w:val="21"/>
                <w:szCs w:val="21"/>
                <w:u w:val="single"/>
              </w:rPr>
              <w:t xml:space="preserve"> </w:t>
            </w:r>
            <w:r>
              <w:rPr>
                <w:rFonts w:ascii="Times New Roman" w:hAnsi="Times New Roman"/>
                <w:color w:val="000000"/>
                <w:sz w:val="21"/>
                <w:szCs w:val="21"/>
              </w:rPr>
              <w:t>年</w:t>
            </w:r>
            <w:r>
              <w:rPr>
                <w:rFonts w:ascii="Times New Roman" w:hAnsi="Times New Roman"/>
                <w:color w:val="000000"/>
                <w:sz w:val="21"/>
                <w:szCs w:val="21"/>
                <w:u w:val="single"/>
              </w:rPr>
              <w:t xml:space="preserve"> </w:t>
            </w:r>
            <w:r>
              <w:rPr>
                <w:rFonts w:hint="eastAsia" w:ascii="Times New Roman" w:hAnsi="Times New Roman"/>
                <w:color w:val="000000"/>
                <w:sz w:val="21"/>
                <w:szCs w:val="21"/>
                <w:u w:val="single"/>
                <w:lang w:val="en-US" w:eastAsia="zh-CN"/>
              </w:rPr>
              <w:t>11</w:t>
            </w:r>
            <w:r>
              <w:rPr>
                <w:rFonts w:ascii="Times New Roman" w:hAnsi="Times New Roman"/>
                <w:color w:val="000000"/>
                <w:sz w:val="21"/>
                <w:szCs w:val="21"/>
              </w:rPr>
              <w:t>月</w:t>
            </w:r>
            <w:r>
              <w:rPr>
                <w:rFonts w:ascii="Times New Roman" w:hAnsi="Times New Roman"/>
                <w:color w:val="000000"/>
                <w:sz w:val="21"/>
                <w:szCs w:val="21"/>
                <w:u w:val="single"/>
              </w:rPr>
              <w:t xml:space="preserve"> </w:t>
            </w:r>
            <w:r>
              <w:rPr>
                <w:rFonts w:hint="eastAsia" w:ascii="Times New Roman" w:hAnsi="Times New Roman"/>
                <w:color w:val="000000"/>
                <w:sz w:val="21"/>
                <w:szCs w:val="21"/>
                <w:u w:val="single"/>
                <w:lang w:val="en-US" w:eastAsia="zh-CN"/>
              </w:rPr>
              <w:t>23</w:t>
            </w:r>
            <w:r>
              <w:rPr>
                <w:rFonts w:ascii="Times New Roman" w:hAnsi="Times New Roman"/>
                <w:color w:val="000000"/>
                <w:sz w:val="21"/>
                <w:szCs w:val="21"/>
              </w:rPr>
              <w:t>日</w:t>
            </w:r>
            <w:r>
              <w:rPr>
                <w:rFonts w:ascii="Times New Roman" w:hAnsi="Times New Roman"/>
                <w:color w:val="000000"/>
                <w:sz w:val="21"/>
                <w:szCs w:val="21"/>
                <w:u w:val="single"/>
              </w:rPr>
              <w:t xml:space="preserve"> </w:t>
            </w:r>
            <w:r>
              <w:rPr>
                <w:rFonts w:hint="eastAsia" w:ascii="Times New Roman" w:hAnsi="Times New Roman"/>
                <w:color w:val="000000"/>
                <w:sz w:val="21"/>
                <w:szCs w:val="21"/>
                <w:u w:val="single"/>
                <w:lang w:val="en-US" w:eastAsia="zh-CN"/>
              </w:rPr>
              <w:t>15</w:t>
            </w:r>
            <w:r>
              <w:rPr>
                <w:rFonts w:ascii="Times New Roman" w:hAnsi="Times New Roman"/>
                <w:color w:val="000000"/>
                <w:sz w:val="21"/>
                <w:szCs w:val="21"/>
              </w:rPr>
              <w:t>时</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4.2.2（A）</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递交投标文件地点</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20" w:firstLineChars="200"/>
              <w:rPr>
                <w:rFonts w:ascii="Times New Roman" w:hAnsi="Times New Roman"/>
                <w:color w:val="000000"/>
              </w:rPr>
            </w:pPr>
            <w:r>
              <w:rPr>
                <w:rFonts w:hint="eastAsia" w:ascii="Times New Roman" w:hAnsi="Times New Roman"/>
                <w:color w:val="000000"/>
              </w:rPr>
              <w:t>亳州交通投资控股集团有限公司</w:t>
            </w:r>
            <w:r>
              <w:rPr>
                <w:rFonts w:hint="eastAsia" w:ascii="Times New Roman" w:hAnsi="Times New Roman"/>
                <w:color w:val="000000"/>
                <w:lang w:val="en-US" w:eastAsia="zh-CN"/>
              </w:rPr>
              <w:t>8</w:t>
            </w:r>
            <w:r>
              <w:rPr>
                <w:rFonts w:hint="eastAsia" w:ascii="Times New Roman" w:hAnsi="Times New Roman"/>
                <w:color w:val="000000"/>
              </w:rPr>
              <w:t>楼会议室（药都大道与希夷大道交叉口岸香咖啡</w:t>
            </w:r>
            <w:r>
              <w:rPr>
                <w:rFonts w:hint="eastAsia" w:ascii="Times New Roman" w:hAnsi="Times New Roman"/>
                <w:color w:val="000000"/>
                <w:lang w:val="en-US" w:eastAsia="zh-CN"/>
              </w:rPr>
              <w:t>8</w:t>
            </w:r>
            <w:r>
              <w:rPr>
                <w:rFonts w:hint="eastAsia" w:ascii="Times New Roman" w:hAnsi="Times New Roman"/>
                <w:color w:val="000000"/>
              </w:rPr>
              <w:t>楼）</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4.2.3</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投标文件是否退还</w:t>
            </w:r>
          </w:p>
        </w:tc>
        <w:tc>
          <w:tcPr>
            <w:tcW w:w="4873"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sz w:val="21"/>
                <w:szCs w:val="22"/>
              </w:rPr>
            </w:pPr>
            <w:r>
              <w:rPr>
                <w:rFonts w:hint="eastAsia" w:ascii="Times New Roman" w:hAnsi="Times New Roman"/>
                <w:sz w:val="21"/>
                <w:szCs w:val="22"/>
                <w:shd w:val="clear" w:color="FFFFFF" w:fill="D9D9D9"/>
              </w:rPr>
              <w:t>否</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nil"/>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5.1（A）</w:t>
            </w:r>
          </w:p>
        </w:tc>
        <w:tc>
          <w:tcPr>
            <w:tcW w:w="3284" w:type="dxa"/>
            <w:tcBorders>
              <w:top w:val="single" w:color="auto" w:sz="4" w:space="0"/>
              <w:left w:val="single" w:color="auto" w:sz="4" w:space="0"/>
              <w:bottom w:val="nil"/>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开标时间和地点</w:t>
            </w:r>
          </w:p>
        </w:tc>
        <w:tc>
          <w:tcPr>
            <w:tcW w:w="4873" w:type="dxa"/>
            <w:tcBorders>
              <w:top w:val="single" w:color="auto" w:sz="4" w:space="0"/>
              <w:left w:val="single" w:color="auto" w:sz="4" w:space="0"/>
              <w:bottom w:val="nil"/>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开标时间：同投标截止时间</w:t>
            </w:r>
          </w:p>
          <w:p>
            <w:pPr>
              <w:spacing w:line="440" w:lineRule="exact"/>
              <w:rPr>
                <w:rFonts w:ascii="Times New Roman" w:hAnsi="Times New Roman"/>
                <w:color w:val="000000"/>
              </w:rPr>
            </w:pPr>
            <w:r>
              <w:rPr>
                <w:rFonts w:ascii="Times New Roman" w:hAnsi="Times New Roman"/>
                <w:color w:val="000000"/>
              </w:rPr>
              <w:t>开标地点：</w:t>
            </w:r>
            <w:r>
              <w:rPr>
                <w:rFonts w:hint="eastAsia" w:ascii="Times New Roman" w:hAnsi="Times New Roman"/>
                <w:color w:val="000000"/>
              </w:rPr>
              <w:t>亳州交通投资控股集团有限公司</w:t>
            </w:r>
            <w:r>
              <w:rPr>
                <w:rFonts w:hint="eastAsia" w:ascii="Times New Roman" w:hAnsi="Times New Roman"/>
                <w:color w:val="000000"/>
                <w:lang w:val="en-US" w:eastAsia="zh-CN"/>
              </w:rPr>
              <w:t>8</w:t>
            </w:r>
            <w:r>
              <w:rPr>
                <w:rFonts w:hint="eastAsia" w:ascii="Times New Roman" w:hAnsi="Times New Roman"/>
                <w:color w:val="000000"/>
              </w:rPr>
              <w:t>楼会议室</w:t>
            </w:r>
            <w:r>
              <w:rPr>
                <w:rFonts w:hint="eastAsia" w:ascii="Times New Roman" w:hAnsi="Times New Roman"/>
                <w:color w:val="000000"/>
                <w:lang w:val="en-US" w:eastAsia="zh-CN"/>
              </w:rPr>
              <w:t xml:space="preserve"> </w:t>
            </w:r>
          </w:p>
        </w:tc>
      </w:tr>
      <w:tr>
        <w:tblPrEx>
          <w:tblLayout w:type="fixed"/>
          <w:tblCellMar>
            <w:top w:w="0" w:type="dxa"/>
            <w:left w:w="108" w:type="dxa"/>
            <w:bottom w:w="0" w:type="dxa"/>
            <w:right w:w="108" w:type="dxa"/>
          </w:tblCellMar>
        </w:tblPrEx>
        <w:trPr>
          <w:trHeight w:val="381" w:hRule="atLeast"/>
        </w:trPr>
        <w:tc>
          <w:tcPr>
            <w:tcW w:w="1165" w:type="dxa"/>
            <w:tcBorders>
              <w:top w:val="single" w:color="auto" w:sz="4" w:space="0"/>
              <w:left w:val="single" w:color="auto" w:sz="4" w:space="0"/>
              <w:bottom w:val="nil"/>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5.2（</w:t>
            </w:r>
            <w:r>
              <w:rPr>
                <w:rFonts w:hint="eastAsia" w:ascii="Times New Roman" w:hAnsi="Times New Roman"/>
                <w:color w:val="000000"/>
              </w:rPr>
              <w:t>4</w:t>
            </w:r>
            <w:r>
              <w:rPr>
                <w:rFonts w:ascii="Times New Roman" w:hAnsi="Times New Roman"/>
                <w:color w:val="000000"/>
              </w:rPr>
              <w:t>）（A）</w:t>
            </w:r>
          </w:p>
        </w:tc>
        <w:tc>
          <w:tcPr>
            <w:tcW w:w="3284" w:type="dxa"/>
            <w:tcBorders>
              <w:top w:val="single" w:color="auto" w:sz="4" w:space="0"/>
              <w:left w:val="single" w:color="auto" w:sz="4" w:space="0"/>
              <w:bottom w:val="nil"/>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开标程序</w:t>
            </w:r>
          </w:p>
        </w:tc>
        <w:tc>
          <w:tcPr>
            <w:tcW w:w="4873" w:type="dxa"/>
            <w:tcBorders>
              <w:top w:val="single" w:color="auto" w:sz="4" w:space="0"/>
              <w:left w:val="single" w:color="auto" w:sz="4" w:space="0"/>
              <w:bottom w:val="nil"/>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开标顺序：</w:t>
            </w:r>
            <w:r>
              <w:rPr>
                <w:rFonts w:hint="eastAsia" w:ascii="Times New Roman" w:hAnsi="Times New Roman"/>
                <w:color w:val="000000"/>
              </w:rPr>
              <w:t>按签到正顺序开标。</w:t>
            </w:r>
          </w:p>
        </w:tc>
      </w:tr>
      <w:tr>
        <w:tblPrEx>
          <w:tblLayout w:type="fixed"/>
          <w:tblCellMar>
            <w:top w:w="0" w:type="dxa"/>
            <w:left w:w="108" w:type="dxa"/>
            <w:bottom w:w="0" w:type="dxa"/>
            <w:right w:w="108" w:type="dxa"/>
          </w:tblCellMar>
        </w:tblPrEx>
        <w:trPr>
          <w:trHeight w:val="54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6.1.1</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评标委员会的组建</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评标委员会构成：</w:t>
            </w:r>
            <w:r>
              <w:rPr>
                <w:rFonts w:hint="eastAsia" w:ascii="Times New Roman" w:hAnsi="Times New Roman"/>
                <w:b/>
                <w:bCs/>
                <w:u w:val="single"/>
                <w:shd w:val="clear" w:color="FFFFFF" w:fill="D9D9D9"/>
              </w:rPr>
              <w:t>5</w:t>
            </w:r>
            <w:r>
              <w:rPr>
                <w:rFonts w:ascii="Times New Roman" w:hAnsi="Times New Roman"/>
                <w:color w:val="000000"/>
              </w:rPr>
              <w:t>人</w:t>
            </w:r>
          </w:p>
          <w:p>
            <w:pPr>
              <w:spacing w:line="440" w:lineRule="exact"/>
              <w:rPr>
                <w:rFonts w:ascii="Times New Roman" w:hAnsi="Times New Roman"/>
                <w:color w:val="000000"/>
              </w:rPr>
            </w:pPr>
            <w:r>
              <w:rPr>
                <w:rFonts w:ascii="Times New Roman" w:hAnsi="Times New Roman"/>
                <w:color w:val="000000"/>
              </w:rPr>
              <w:t>其中招标人代表</w:t>
            </w:r>
            <w:r>
              <w:rPr>
                <w:rFonts w:hint="eastAsia" w:ascii="Times New Roman" w:hAnsi="Times New Roman"/>
                <w:b/>
                <w:bCs/>
                <w:u w:val="single"/>
                <w:shd w:val="clear" w:color="FFFFFF" w:fill="D9D9D9"/>
              </w:rPr>
              <w:t>1</w:t>
            </w:r>
            <w:r>
              <w:rPr>
                <w:rFonts w:ascii="Times New Roman" w:hAnsi="Times New Roman"/>
                <w:color w:val="000000"/>
              </w:rPr>
              <w:t>人，专家</w:t>
            </w:r>
            <w:r>
              <w:rPr>
                <w:rFonts w:hint="eastAsia" w:ascii="Times New Roman" w:hAnsi="Times New Roman"/>
                <w:b/>
                <w:bCs/>
                <w:u w:val="single"/>
                <w:shd w:val="clear" w:color="FFFFFF" w:fill="D9D9D9"/>
              </w:rPr>
              <w:t>4</w:t>
            </w:r>
            <w:r>
              <w:rPr>
                <w:rFonts w:ascii="Times New Roman" w:hAnsi="Times New Roman"/>
                <w:color w:val="000000"/>
              </w:rPr>
              <w:t>人；</w:t>
            </w:r>
          </w:p>
          <w:p>
            <w:pPr>
              <w:spacing w:line="440" w:lineRule="exact"/>
              <w:rPr>
                <w:rFonts w:ascii="Times New Roman" w:hAnsi="Times New Roman"/>
                <w:color w:val="000000"/>
              </w:rPr>
            </w:pPr>
            <w:r>
              <w:rPr>
                <w:rFonts w:ascii="Times New Roman" w:hAnsi="Times New Roman"/>
                <w:color w:val="000000"/>
              </w:rPr>
              <w:t>评标专家确定方式：</w:t>
            </w:r>
            <w:r>
              <w:rPr>
                <w:rFonts w:hint="eastAsia" w:ascii="Times New Roman" w:hAnsi="Times New Roman"/>
                <w:color w:val="000000"/>
              </w:rPr>
              <w:t>按有关规定组建。</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6.3.2</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评标委员会推荐中标候选人的人数</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3人</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rPr>
              <w:t>7.1</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olor w:val="000000"/>
              </w:rPr>
            </w:pPr>
            <w:r>
              <w:rPr>
                <w:rFonts w:ascii="Times New Roman" w:hAnsi="Times New Roman"/>
              </w:rPr>
              <w:t>中标候选人公示媒介及期限</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rPr>
            </w:pPr>
            <w:r>
              <w:rPr>
                <w:rFonts w:ascii="Times New Roman" w:hAnsi="Times New Roman"/>
              </w:rPr>
              <w:t>公示媒介：</w:t>
            </w:r>
            <w:r>
              <w:rPr>
                <w:rFonts w:hint="eastAsia" w:ascii="Times New Roman" w:hAnsi="Times New Roman"/>
              </w:rPr>
              <w:t>亳州交通投资控股集团有限公司官网（www.bzjkjt.com）</w:t>
            </w:r>
          </w:p>
          <w:p>
            <w:pPr>
              <w:spacing w:line="440" w:lineRule="exact"/>
              <w:rPr>
                <w:rFonts w:ascii="Times New Roman" w:hAnsi="Times New Roman"/>
                <w:color w:val="000000"/>
                <w:sz w:val="32"/>
              </w:rPr>
            </w:pPr>
            <w:r>
              <w:rPr>
                <w:rFonts w:ascii="Times New Roman" w:hAnsi="Times New Roman"/>
              </w:rPr>
              <w:t>公示期限：</w:t>
            </w:r>
            <w:r>
              <w:rPr>
                <w:rFonts w:hint="eastAsia" w:ascii="Times New Roman" w:hAnsi="Times New Roman"/>
                <w:b/>
                <w:bCs/>
                <w:u w:val="single"/>
                <w:shd w:val="clear" w:color="FFFFFF" w:fill="D9D9D9"/>
                <w:lang w:val="en-US" w:eastAsia="zh-CN"/>
              </w:rPr>
              <w:t>3</w:t>
            </w:r>
            <w:r>
              <w:rPr>
                <w:rFonts w:ascii="Times New Roman" w:hAnsi="Times New Roman"/>
              </w:rPr>
              <w:t>日</w:t>
            </w:r>
          </w:p>
        </w:tc>
      </w:tr>
      <w:tr>
        <w:tblPrEx>
          <w:tblLayout w:type="fixed"/>
          <w:tblCellMar>
            <w:top w:w="0" w:type="dxa"/>
            <w:left w:w="108" w:type="dxa"/>
            <w:bottom w:w="0" w:type="dxa"/>
            <w:right w:w="108" w:type="dxa"/>
          </w:tblCellMar>
        </w:tblPrEx>
        <w:trPr>
          <w:trHeight w:val="555"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7.4</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是否授权评标委员会确定中标人</w:t>
            </w:r>
          </w:p>
        </w:tc>
        <w:tc>
          <w:tcPr>
            <w:tcW w:w="48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lang w:eastAsia="zh-CN"/>
              </w:rPr>
            </w:pPr>
            <w:r>
              <w:rPr>
                <w:rFonts w:hint="eastAsia" w:ascii="Times New Roman" w:hAnsi="Times New Roman"/>
                <w:lang w:eastAsia="zh-CN"/>
              </w:rPr>
              <w:t>否</w:t>
            </w:r>
          </w:p>
        </w:tc>
      </w:tr>
      <w:tr>
        <w:tblPrEx>
          <w:tblLayout w:type="fixed"/>
          <w:tblCellMar>
            <w:top w:w="0" w:type="dxa"/>
            <w:left w:w="108" w:type="dxa"/>
            <w:bottom w:w="0" w:type="dxa"/>
            <w:right w:w="108" w:type="dxa"/>
          </w:tblCellMar>
        </w:tblPrEx>
        <w:trPr>
          <w:trHeight w:val="4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eastAsiaTheme="minorEastAsia"/>
                <w:color w:val="000000"/>
              </w:rPr>
              <w:t>7.6</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hint="eastAsia" w:ascii="Times New Roman" w:eastAsiaTheme="minorEastAsia"/>
                <w:color w:val="000000"/>
              </w:rPr>
              <w:t>技术成果经济补偿</w:t>
            </w:r>
          </w:p>
        </w:tc>
        <w:tc>
          <w:tcPr>
            <w:tcW w:w="4873" w:type="dxa"/>
            <w:tcBorders>
              <w:top w:val="single" w:color="auto" w:sz="4" w:space="0"/>
              <w:left w:val="single" w:color="auto" w:sz="4" w:space="0"/>
              <w:bottom w:val="single" w:color="auto" w:sz="4" w:space="0"/>
              <w:right w:val="single" w:color="auto" w:sz="4" w:space="0"/>
            </w:tcBorders>
            <w:vAlign w:val="center"/>
          </w:tcPr>
          <w:p>
            <w:pPr>
              <w:tabs>
                <w:tab w:val="left" w:pos="360"/>
              </w:tabs>
              <w:rPr>
                <w:rFonts w:ascii="Times New Roman" w:hAnsi="Times New Roman"/>
                <w:color w:val="000000"/>
                <w:sz w:val="32"/>
              </w:rPr>
            </w:pPr>
            <w:r>
              <w:rPr>
                <w:rFonts w:hint="eastAsia" w:ascii="Times New Roman" w:hAnsiTheme="minorEastAsia" w:eastAsiaTheme="minorEastAsia"/>
                <w:color w:val="000000"/>
                <w:szCs w:val="21"/>
              </w:rPr>
              <w:t>不补偿</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7.</w:t>
            </w:r>
            <w:r>
              <w:rPr>
                <w:rFonts w:hint="eastAsia" w:ascii="Times New Roman" w:hAnsi="Times New Roman"/>
              </w:rPr>
              <w:t>7</w:t>
            </w:r>
            <w:r>
              <w:rPr>
                <w:rFonts w:ascii="Times New Roman" w:hAnsi="Times New Roman"/>
              </w:rPr>
              <w:t>.</w:t>
            </w:r>
            <w:r>
              <w:rPr>
                <w:rFonts w:ascii="Times New Roman" w:hAnsi="Times New Roman"/>
                <w:color w:val="000000"/>
              </w:rPr>
              <w:t>1</w:t>
            </w:r>
          </w:p>
        </w:tc>
        <w:tc>
          <w:tcPr>
            <w:tcW w:w="32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hint="eastAsia" w:ascii="Times New Roman" w:hAnsi="Times New Roman"/>
                <w:lang w:eastAsia="zh-CN"/>
              </w:rPr>
              <w:t>是否要求</w:t>
            </w:r>
            <w:r>
              <w:rPr>
                <w:rFonts w:ascii="Times New Roman" w:hAnsi="Times New Roman"/>
              </w:rPr>
              <w:t>履约保证金</w:t>
            </w:r>
          </w:p>
        </w:tc>
        <w:tc>
          <w:tcPr>
            <w:tcW w:w="4873"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sz w:val="21"/>
                <w:szCs w:val="22"/>
              </w:rPr>
            </w:pPr>
            <w:r>
              <w:rPr>
                <w:rFonts w:ascii="Times New Roman" w:hAnsi="Times New Roman"/>
                <w:sz w:val="21"/>
                <w:szCs w:val="22"/>
              </w:rPr>
              <w:t>不要求</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w:t>
            </w:r>
          </w:p>
        </w:tc>
        <w:tc>
          <w:tcPr>
            <w:tcW w:w="8157"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w:t>
            </w:r>
          </w:p>
        </w:tc>
      </w:tr>
    </w:tbl>
    <w:p>
      <w:pPr>
        <w:spacing w:line="400" w:lineRule="exact"/>
        <w:rPr>
          <w:rFonts w:ascii="Times New Roman" w:hAnsi="Times New Roman"/>
          <w:color w:val="000000"/>
        </w:rPr>
      </w:pPr>
      <w:r>
        <w:rPr>
          <w:rFonts w:ascii="Times New Roman" w:hAnsi="Times New Roman"/>
          <w:color w:val="000000"/>
        </w:rPr>
        <w:br w:type="page"/>
      </w:r>
    </w:p>
    <w:p>
      <w:pPr>
        <w:pStyle w:val="3"/>
        <w:rPr>
          <w:rFonts w:ascii="Times New Roman" w:hAnsi="Times New Roman"/>
          <w:color w:val="000000"/>
        </w:rPr>
      </w:pPr>
      <w:bookmarkStart w:id="74" w:name="_Toc492300353"/>
      <w:r>
        <w:rPr>
          <w:rFonts w:ascii="Times New Roman" w:hAnsi="Times New Roman"/>
          <w:color w:val="000000"/>
        </w:rPr>
        <w:t>1. 总则</w:t>
      </w:r>
      <w:bookmarkEnd w:id="74"/>
    </w:p>
    <w:p>
      <w:pPr>
        <w:pStyle w:val="4"/>
        <w:spacing w:line="240" w:lineRule="auto"/>
        <w:ind w:firstLine="137"/>
        <w:rPr>
          <w:rFonts w:ascii="Times New Roman" w:hAnsi="Times New Roman"/>
          <w:color w:val="000000"/>
        </w:rPr>
      </w:pPr>
      <w:bookmarkStart w:id="75" w:name="_Toc492300354"/>
      <w:r>
        <w:rPr>
          <w:rFonts w:ascii="Times New Roman" w:hAnsi="Times New Roman"/>
          <w:color w:val="000000"/>
        </w:rPr>
        <w:t xml:space="preserve">1.1 </w:t>
      </w:r>
      <w:r>
        <w:rPr>
          <w:rFonts w:hint="eastAsia" w:ascii="Times New Roman" w:hAnsi="Times New Roman"/>
          <w:color w:val="000000"/>
        </w:rPr>
        <w:t>招标项目概况</w:t>
      </w:r>
      <w:bookmarkEnd w:id="75"/>
    </w:p>
    <w:p>
      <w:pPr>
        <w:spacing w:line="400" w:lineRule="exact"/>
        <w:ind w:firstLine="420" w:firstLineChars="200"/>
        <w:rPr>
          <w:rFonts w:ascii="Times New Roman" w:hAnsi="Times New Roman"/>
          <w:color w:val="000000"/>
        </w:rPr>
      </w:pPr>
      <w:r>
        <w:rPr>
          <w:rFonts w:ascii="Times New Roman" w:hAnsi="Times New Roman"/>
          <w:color w:val="000000"/>
        </w:rPr>
        <w:t>1.1.1根据《中华人民共和国招标投标法》、《中华人民共和国招标投标法实施条例》等有关法律、法规和规章的规定，本招标项目已具备招标条件，现对设计进行招标。</w:t>
      </w:r>
    </w:p>
    <w:p>
      <w:pPr>
        <w:spacing w:line="400" w:lineRule="exact"/>
        <w:ind w:firstLine="420" w:firstLineChars="200"/>
        <w:rPr>
          <w:rFonts w:ascii="Times New Roman" w:hAnsi="Times New Roman"/>
          <w:color w:val="000000"/>
        </w:rPr>
      </w:pPr>
      <w:r>
        <w:rPr>
          <w:rFonts w:ascii="Times New Roman" w:hAnsi="Times New Roman"/>
          <w:color w:val="000000"/>
        </w:rPr>
        <w:t>1.1.2 招标人：见投标人须知前附表。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1.1.3 招标代理机构：见投标人须知前附表。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1.1.4 招标项目名称：见投标人须知前附表。</w:t>
      </w:r>
    </w:p>
    <w:p>
      <w:pPr>
        <w:spacing w:line="400" w:lineRule="exact"/>
        <w:ind w:firstLine="420" w:firstLineChars="200"/>
        <w:rPr>
          <w:rFonts w:ascii="Times New Roman" w:hAnsi="Times New Roman"/>
        </w:rPr>
      </w:pPr>
      <w:r>
        <w:rPr>
          <w:rFonts w:ascii="Times New Roman" w:hAnsi="Times New Roman"/>
        </w:rPr>
        <w:t>1.1.5 项目建设地点：见投标人须知前附表。</w:t>
      </w:r>
    </w:p>
    <w:p>
      <w:pPr>
        <w:spacing w:line="400" w:lineRule="exact"/>
        <w:ind w:firstLine="420" w:firstLineChars="200"/>
        <w:rPr>
          <w:rFonts w:ascii="Times New Roman" w:hAnsi="Times New Roman"/>
        </w:rPr>
      </w:pPr>
      <w:r>
        <w:rPr>
          <w:rFonts w:ascii="Times New Roman" w:hAnsi="Times New Roman"/>
        </w:rPr>
        <w:t>1.1.6 项目建设规模：见投标人须知前附表。</w:t>
      </w:r>
    </w:p>
    <w:p>
      <w:pPr>
        <w:spacing w:line="400" w:lineRule="exact"/>
        <w:ind w:firstLine="420" w:firstLineChars="200"/>
        <w:rPr>
          <w:rFonts w:ascii="Times New Roman" w:hAnsi="Times New Roman"/>
        </w:rPr>
      </w:pPr>
      <w:r>
        <w:rPr>
          <w:rFonts w:ascii="Times New Roman" w:hAnsi="Times New Roman"/>
        </w:rPr>
        <w:t>1.1.7 项目投资估算：见投标人须知前附表。</w:t>
      </w:r>
    </w:p>
    <w:p>
      <w:pPr>
        <w:pStyle w:val="4"/>
        <w:spacing w:line="240" w:lineRule="auto"/>
        <w:ind w:firstLine="137"/>
        <w:rPr>
          <w:rFonts w:ascii="Times New Roman" w:hAnsi="Times New Roman"/>
          <w:color w:val="000000"/>
        </w:rPr>
      </w:pPr>
      <w:bookmarkStart w:id="76" w:name="_Toc492300355"/>
      <w:r>
        <w:rPr>
          <w:rFonts w:ascii="Times New Roman" w:hAnsi="Times New Roman"/>
          <w:color w:val="000000"/>
        </w:rPr>
        <w:t xml:space="preserve">1.2 </w:t>
      </w:r>
      <w:r>
        <w:rPr>
          <w:rFonts w:hint="eastAsia" w:ascii="Times New Roman" w:hAnsi="Times New Roman"/>
          <w:color w:val="000000"/>
        </w:rPr>
        <w:t>招标项目的资金来源和落实情况</w:t>
      </w:r>
      <w:bookmarkEnd w:id="76"/>
    </w:p>
    <w:p>
      <w:pPr>
        <w:spacing w:line="400" w:lineRule="exact"/>
        <w:ind w:firstLine="420" w:firstLineChars="200"/>
        <w:rPr>
          <w:rFonts w:ascii="Times New Roman" w:hAnsi="Times New Roman"/>
          <w:color w:val="000000"/>
        </w:rPr>
      </w:pPr>
      <w:r>
        <w:rPr>
          <w:rFonts w:ascii="Times New Roman" w:hAnsi="Times New Roman"/>
          <w:color w:val="000000"/>
        </w:rPr>
        <w:t>1.2.1 资金来源及比例：见投标人须知前附表。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1.2.2 资金落实情况：见投标人须知前附表。</w:t>
      </w:r>
    </w:p>
    <w:p>
      <w:pPr>
        <w:pStyle w:val="4"/>
        <w:spacing w:line="240" w:lineRule="auto"/>
        <w:ind w:firstLine="137"/>
        <w:rPr>
          <w:rFonts w:ascii="Times New Roman" w:hAnsi="Times New Roman"/>
          <w:color w:val="000000"/>
        </w:rPr>
      </w:pPr>
      <w:bookmarkStart w:id="77" w:name="_Toc492300356"/>
      <w:r>
        <w:rPr>
          <w:rFonts w:ascii="Times New Roman" w:hAnsi="Times New Roman"/>
          <w:color w:val="000000"/>
        </w:rPr>
        <w:t>1.3</w:t>
      </w:r>
      <w:r>
        <w:rPr>
          <w:rFonts w:hint="eastAsia" w:ascii="Times New Roman" w:hAnsi="Times New Roman"/>
          <w:color w:val="000000"/>
        </w:rPr>
        <w:t>招标范围、设计服务期限和质量标准</w:t>
      </w:r>
      <w:bookmarkEnd w:id="77"/>
    </w:p>
    <w:p>
      <w:pPr>
        <w:spacing w:line="400" w:lineRule="exact"/>
        <w:ind w:firstLine="420" w:firstLineChars="200"/>
        <w:rPr>
          <w:rFonts w:ascii="Times New Roman" w:hAnsi="Times New Roman"/>
          <w:color w:val="000000"/>
        </w:rPr>
      </w:pPr>
      <w:r>
        <w:rPr>
          <w:rFonts w:ascii="Times New Roman" w:hAnsi="Times New Roman"/>
          <w:color w:val="000000"/>
        </w:rPr>
        <w:t>1.3.1 招标范围：见投标人须知前附表。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1.3.2 设计服务期限：见投标人须知前附表。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1.3.3 质量标准：见投标人须知前附表。</w:t>
      </w:r>
    </w:p>
    <w:p>
      <w:pPr>
        <w:pStyle w:val="4"/>
        <w:spacing w:line="240" w:lineRule="auto"/>
        <w:ind w:firstLine="137"/>
        <w:rPr>
          <w:rFonts w:ascii="Times New Roman" w:hAnsi="Times New Roman"/>
          <w:color w:val="000000"/>
        </w:rPr>
      </w:pPr>
      <w:bookmarkStart w:id="78" w:name="_Toc492300357"/>
      <w:r>
        <w:rPr>
          <w:rFonts w:ascii="Times New Roman" w:hAnsi="Times New Roman"/>
          <w:color w:val="000000"/>
        </w:rPr>
        <w:t>1.4</w:t>
      </w:r>
      <w:r>
        <w:rPr>
          <w:rFonts w:hint="eastAsia" w:ascii="Times New Roman" w:hAnsi="Times New Roman"/>
          <w:color w:val="000000"/>
        </w:rPr>
        <w:t>投标人资格要求</w:t>
      </w:r>
      <w:bookmarkEnd w:id="78"/>
    </w:p>
    <w:p>
      <w:pPr>
        <w:spacing w:line="400" w:lineRule="exact"/>
        <w:ind w:firstLine="420" w:firstLineChars="200"/>
        <w:rPr>
          <w:rFonts w:ascii="Times New Roman" w:hAnsi="Times New Roman"/>
        </w:rPr>
      </w:pPr>
      <w:r>
        <w:rPr>
          <w:rFonts w:ascii="Times New Roman" w:hAnsi="Times New Roman"/>
          <w:color w:val="000000"/>
        </w:rPr>
        <w:t>1.4.1 投标人应具备承担本招标项目资质条件、能力和信誉</w:t>
      </w:r>
      <w:r>
        <w:rPr>
          <w:rFonts w:ascii="Times New Roman" w:hAnsi="Times New Roman"/>
        </w:rPr>
        <w:t>：</w:t>
      </w:r>
    </w:p>
    <w:p>
      <w:pPr>
        <w:spacing w:line="400" w:lineRule="exact"/>
        <w:ind w:firstLine="315" w:firstLineChars="150"/>
        <w:rPr>
          <w:rFonts w:ascii="Times New Roman" w:hAnsi="Times New Roman"/>
          <w:color w:val="000000"/>
        </w:rPr>
      </w:pPr>
      <w:r>
        <w:rPr>
          <w:rFonts w:ascii="Times New Roman" w:hAnsi="Times New Roman"/>
          <w:color w:val="000000"/>
        </w:rPr>
        <w:t>（1）资质要求：见投标人须知前附表；</w:t>
      </w:r>
    </w:p>
    <w:p>
      <w:pPr>
        <w:spacing w:line="400" w:lineRule="exact"/>
        <w:ind w:firstLine="315" w:firstLineChars="150"/>
        <w:rPr>
          <w:rFonts w:ascii="Times New Roman" w:hAnsi="Times New Roman"/>
          <w:color w:val="000000"/>
        </w:rPr>
      </w:pPr>
      <w:r>
        <w:rPr>
          <w:rFonts w:ascii="Times New Roman" w:hAnsi="Times New Roman"/>
          <w:color w:val="000000"/>
        </w:rPr>
        <w:t>（2）</w:t>
      </w:r>
      <w:r>
        <w:rPr>
          <w:rFonts w:ascii="Times New Roman" w:hAnsi="Times New Roman"/>
        </w:rPr>
        <w:t>财务</w:t>
      </w:r>
      <w:r>
        <w:rPr>
          <w:rFonts w:ascii="Times New Roman" w:hAnsi="Times New Roman"/>
          <w:color w:val="000000"/>
        </w:rPr>
        <w:t>要求：见投标人须知前附表；</w:t>
      </w:r>
    </w:p>
    <w:p>
      <w:pPr>
        <w:spacing w:line="400" w:lineRule="exact"/>
        <w:ind w:firstLine="315" w:firstLineChars="150"/>
        <w:rPr>
          <w:rFonts w:ascii="Times New Roman" w:hAnsi="Times New Roman"/>
        </w:rPr>
      </w:pPr>
      <w:r>
        <w:rPr>
          <w:rFonts w:ascii="Times New Roman" w:hAnsi="Times New Roman"/>
        </w:rPr>
        <w:t>（3）业绩要求：见投标人须知前附表；</w:t>
      </w:r>
    </w:p>
    <w:p>
      <w:pPr>
        <w:spacing w:line="400" w:lineRule="exact"/>
        <w:ind w:firstLine="315" w:firstLineChars="150"/>
        <w:rPr>
          <w:rFonts w:ascii="Times New Roman" w:hAnsi="Times New Roman"/>
        </w:rPr>
      </w:pPr>
      <w:r>
        <w:rPr>
          <w:rFonts w:ascii="Times New Roman" w:hAnsi="Times New Roman"/>
        </w:rPr>
        <w:t>（4）信誉要求：见投标人须知前附表；</w:t>
      </w:r>
    </w:p>
    <w:p>
      <w:pPr>
        <w:spacing w:line="400" w:lineRule="exact"/>
        <w:ind w:firstLine="315" w:firstLineChars="150"/>
        <w:rPr>
          <w:rFonts w:ascii="Times New Roman" w:hAnsi="Times New Roman"/>
        </w:rPr>
      </w:pPr>
      <w:r>
        <w:rPr>
          <w:rFonts w:ascii="Times New Roman" w:hAnsi="Times New Roman"/>
        </w:rPr>
        <w:t>（5）项目负责人的资格要求：应当具备工程设计类注册执业资格</w:t>
      </w:r>
      <w:r>
        <w:rPr>
          <w:rFonts w:hint="eastAsia" w:ascii="Times New Roman" w:hAnsi="Times New Roman"/>
        </w:rPr>
        <w:t>（如有）</w:t>
      </w:r>
      <w:r>
        <w:rPr>
          <w:rFonts w:ascii="Times New Roman" w:hAnsi="Times New Roman"/>
        </w:rPr>
        <w:t>，</w:t>
      </w:r>
      <w:r>
        <w:rPr>
          <w:rFonts w:hint="eastAsia" w:ascii="Times New Roman" w:hAnsi="Times New Roman"/>
        </w:rPr>
        <w:t>具体要求</w:t>
      </w:r>
      <w:r>
        <w:rPr>
          <w:rFonts w:ascii="Times New Roman" w:hAnsi="Times New Roman"/>
        </w:rPr>
        <w:t>见投标人须知前附表；</w:t>
      </w:r>
    </w:p>
    <w:p>
      <w:pPr>
        <w:spacing w:line="400" w:lineRule="exact"/>
        <w:ind w:firstLine="315" w:firstLineChars="150"/>
        <w:rPr>
          <w:rFonts w:ascii="Times New Roman" w:hAnsi="Times New Roman"/>
        </w:rPr>
      </w:pPr>
      <w:r>
        <w:rPr>
          <w:rFonts w:hint="eastAsia" w:ascii="Times New Roman" w:hAnsi="Times New Roman"/>
        </w:rPr>
        <w:t>（6）其他主要人员要求：</w:t>
      </w:r>
      <w:r>
        <w:rPr>
          <w:rFonts w:ascii="Times New Roman" w:hAnsi="Times New Roman"/>
        </w:rPr>
        <w:t>见投标人须知前附表。</w:t>
      </w:r>
    </w:p>
    <w:p>
      <w:pPr>
        <w:spacing w:line="400" w:lineRule="exact"/>
        <w:ind w:firstLine="315" w:firstLineChars="150"/>
        <w:rPr>
          <w:rFonts w:ascii="Times New Roman" w:hAnsi="Times New Roman"/>
        </w:rPr>
      </w:pPr>
      <w:r>
        <w:rPr>
          <w:rFonts w:ascii="Times New Roman" w:hAnsi="Times New Roman"/>
        </w:rPr>
        <w:t>（</w:t>
      </w:r>
      <w:r>
        <w:rPr>
          <w:rFonts w:hint="eastAsia" w:ascii="Times New Roman" w:hAnsi="Times New Roman"/>
        </w:rPr>
        <w:t>7</w:t>
      </w:r>
      <w:r>
        <w:rPr>
          <w:rFonts w:ascii="Times New Roman" w:hAnsi="Times New Roman"/>
        </w:rPr>
        <w:t>）其他要求：见投标人须知前附表。</w:t>
      </w:r>
    </w:p>
    <w:p>
      <w:pPr>
        <w:spacing w:line="400" w:lineRule="exact"/>
        <w:ind w:firstLine="420" w:firstLineChars="200"/>
        <w:rPr>
          <w:rFonts w:ascii="Times New Roman" w:hAnsi="Times New Roman"/>
        </w:rPr>
      </w:pPr>
      <w:r>
        <w:rPr>
          <w:rFonts w:ascii="Times New Roman" w:hAnsi="Times New Roman"/>
        </w:rPr>
        <w:t>需要提交的相关证明材料见本章第3.5款的规定。</w:t>
      </w:r>
    </w:p>
    <w:p>
      <w:pPr>
        <w:spacing w:line="400" w:lineRule="exact"/>
        <w:ind w:firstLine="420" w:firstLineChars="200"/>
        <w:rPr>
          <w:rFonts w:ascii="Times New Roman" w:hAnsi="Times New Roman"/>
          <w:color w:val="000000"/>
        </w:rPr>
      </w:pPr>
      <w:r>
        <w:rPr>
          <w:rFonts w:ascii="Times New Roman" w:hAnsi="Times New Roman"/>
        </w:rPr>
        <w:t>1.4.2投标人须知前附表规定接受联合体投标的，</w:t>
      </w:r>
      <w:r>
        <w:rPr>
          <w:rFonts w:ascii="Times New Roman" w:hAnsi="Times New Roman"/>
          <w:color w:val="000000"/>
        </w:rPr>
        <w:t>联合体除应符合本章第1.4.1项和投标人须知前附表的要求外，还应遵守以下规定：</w:t>
      </w:r>
    </w:p>
    <w:p>
      <w:pPr>
        <w:spacing w:line="400" w:lineRule="exact"/>
        <w:ind w:firstLine="315" w:firstLineChars="150"/>
        <w:rPr>
          <w:rFonts w:ascii="Times New Roman" w:hAnsi="Times New Roman"/>
        </w:rPr>
      </w:pPr>
      <w:r>
        <w:rPr>
          <w:rFonts w:ascii="Times New Roman" w:hAnsi="Times New Roman"/>
        </w:rPr>
        <w:t>（1）联合体各方应按招标文件提供的格式签订联合体协议书，明确联合体牵头人和各方权利义务，并承诺就中标项目向招标人承担连带责任；</w:t>
      </w:r>
    </w:p>
    <w:p>
      <w:pPr>
        <w:spacing w:line="400" w:lineRule="exact"/>
        <w:ind w:firstLine="315" w:firstLineChars="150"/>
        <w:rPr>
          <w:rFonts w:ascii="Times New Roman" w:hAnsi="Times New Roman"/>
        </w:rPr>
      </w:pPr>
      <w:r>
        <w:rPr>
          <w:rFonts w:ascii="Times New Roman" w:hAnsi="Times New Roman"/>
        </w:rPr>
        <w:t>（2）由同一专业的单位组成的联合体，按照资质等级较低的单位确定资质等级；</w:t>
      </w:r>
    </w:p>
    <w:p>
      <w:pPr>
        <w:spacing w:line="400" w:lineRule="exact"/>
        <w:ind w:firstLine="315" w:firstLineChars="150"/>
        <w:rPr>
          <w:rFonts w:ascii="Times New Roman" w:hAnsi="Times New Roman"/>
        </w:rPr>
      </w:pPr>
      <w:r>
        <w:rPr>
          <w:rFonts w:ascii="Times New Roman" w:hAnsi="Times New Roman"/>
        </w:rPr>
        <w:t>（3）联合体各方不得再以自己名义单独或参加其他联合体在本招标项目中投标，否则各相关投标均无效。</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1.4.3 投标人不得存在下列情形之一：</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（1）为招标人不具有独立法人资格的附属机构（单位）；</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（2）与招标人存在利害关系且可能影响招标公正性；</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（3）与本招标项目的其他投标人为同一个单位负责人；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（4）与本招标项目的其他投标人存在控股、管理关系；</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（5）为本招标项目的代建人；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（6）为本招标项目的招标代理机构；</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（7）与本招标项目的代建人或招标代理机构同为一个法定代表人；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（8）与本招标项目的代建人或招标代理机构存在控股或参股关系；</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（9）被依法暂停或者取消投标资格；</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（10）被责令停产停业、暂扣或者吊销许可证、暂扣或者吊销执照；</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（11）进入清算程序，或被宣告破产，或其他丧失履约能力的情形；</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（12）在最近三年内发生重大设计质量问题（以相关行业主管部门的行政处罚决定或司法机关出具的有关法律文书为准）；</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（13）被工商行政管理机关在全国企业信用信息公示系统中列入严重违法失信企业名单；</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（14）被最高人民法院在“信用中国”网站（www.creditchina.gov.cn）或各级信用信息共享平台中列入失信被执行人名单；</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（15）在近三年内投标人或其法定代表人、拟委任的项目负责人有行贿犯罪行为的（以检察机关职务犯罪预防部门出具的查询结果为准）；</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（16）法律法规或投标人须知前附表规定的其他情形。</w:t>
      </w:r>
    </w:p>
    <w:p>
      <w:pPr>
        <w:pStyle w:val="4"/>
        <w:spacing w:line="240" w:lineRule="auto"/>
        <w:ind w:firstLine="137"/>
        <w:rPr>
          <w:rFonts w:ascii="Times New Roman" w:hAnsi="Times New Roman"/>
          <w:color w:val="000000"/>
        </w:rPr>
      </w:pPr>
      <w:bookmarkStart w:id="79" w:name="_Toc492300358"/>
      <w:r>
        <w:rPr>
          <w:rFonts w:ascii="Times New Roman" w:hAnsi="Times New Roman"/>
          <w:color w:val="000000"/>
        </w:rPr>
        <w:t xml:space="preserve">1.5 </w:t>
      </w:r>
      <w:r>
        <w:rPr>
          <w:rFonts w:hint="eastAsia" w:ascii="Times New Roman" w:hAnsi="Times New Roman"/>
          <w:color w:val="000000"/>
        </w:rPr>
        <w:t>费用承担</w:t>
      </w:r>
      <w:bookmarkEnd w:id="79"/>
    </w:p>
    <w:p>
      <w:pPr>
        <w:spacing w:line="400" w:lineRule="exact"/>
        <w:ind w:firstLine="420" w:firstLineChars="200"/>
        <w:rPr>
          <w:rFonts w:ascii="Times New Roman" w:hAnsi="Times New Roman"/>
        </w:rPr>
      </w:pPr>
      <w:r>
        <w:rPr>
          <w:rFonts w:ascii="Times New Roman" w:hAnsi="Times New Roman"/>
        </w:rPr>
        <w:t>投标人准备和参加投标活动发生的费用自理。</w:t>
      </w:r>
    </w:p>
    <w:p>
      <w:pPr>
        <w:pStyle w:val="4"/>
        <w:spacing w:line="240" w:lineRule="auto"/>
        <w:ind w:firstLine="137"/>
        <w:rPr>
          <w:rFonts w:ascii="Times New Roman" w:hAnsi="Times New Roman"/>
          <w:color w:val="000000"/>
        </w:rPr>
      </w:pPr>
      <w:bookmarkStart w:id="80" w:name="_Toc492300359"/>
      <w:r>
        <w:rPr>
          <w:rFonts w:ascii="Times New Roman" w:hAnsi="Times New Roman"/>
          <w:color w:val="000000"/>
        </w:rPr>
        <w:t>1.6</w:t>
      </w:r>
      <w:r>
        <w:rPr>
          <w:rFonts w:hint="eastAsia" w:ascii="Times New Roman" w:hAnsi="Times New Roman"/>
          <w:color w:val="000000"/>
        </w:rPr>
        <w:t>保密</w:t>
      </w:r>
      <w:bookmarkEnd w:id="80"/>
    </w:p>
    <w:p>
      <w:pPr>
        <w:spacing w:line="400" w:lineRule="exact"/>
        <w:ind w:firstLine="420" w:firstLineChars="200"/>
        <w:rPr>
          <w:rFonts w:ascii="Times New Roman" w:hAnsi="Times New Roman"/>
          <w:color w:val="000000"/>
        </w:rPr>
      </w:pPr>
      <w:r>
        <w:rPr>
          <w:rFonts w:ascii="Times New Roman" w:hAnsi="Times New Roman"/>
          <w:color w:val="000000"/>
        </w:rPr>
        <w:t>参与招标投标活动的各方应对招标文件和投标文件中</w:t>
      </w:r>
      <w:bookmarkStart w:id="81" w:name="_Toc352691477"/>
      <w:bookmarkStart w:id="82" w:name="_Toc5326"/>
      <w:bookmarkStart w:id="83" w:name="_Toc361508589"/>
      <w:bookmarkStart w:id="84" w:name="_Toc369531519"/>
      <w:bookmarkStart w:id="85" w:name="_Toc384308214"/>
      <w:r>
        <w:rPr>
          <w:rFonts w:ascii="Times New Roman" w:hAnsi="Times New Roman"/>
          <w:color w:val="000000"/>
        </w:rPr>
        <w:t>的商业和技术等秘密保密</w:t>
      </w:r>
      <w:bookmarkEnd w:id="81"/>
      <w:bookmarkEnd w:id="82"/>
      <w:bookmarkEnd w:id="83"/>
      <w:bookmarkEnd w:id="84"/>
      <w:bookmarkEnd w:id="85"/>
      <w:r>
        <w:rPr>
          <w:rFonts w:ascii="Times New Roman" w:hAnsi="Times New Roman"/>
          <w:color w:val="000000"/>
        </w:rPr>
        <w:t>，否则应承担相应的法律责任。</w:t>
      </w:r>
    </w:p>
    <w:p>
      <w:pPr>
        <w:pStyle w:val="4"/>
        <w:spacing w:line="240" w:lineRule="auto"/>
        <w:ind w:firstLine="137"/>
        <w:rPr>
          <w:rFonts w:ascii="Times New Roman" w:hAnsi="Times New Roman"/>
          <w:color w:val="000000"/>
        </w:rPr>
      </w:pPr>
      <w:bookmarkStart w:id="86" w:name="_Toc492300360"/>
      <w:r>
        <w:rPr>
          <w:rFonts w:ascii="Times New Roman" w:hAnsi="Times New Roman"/>
          <w:color w:val="000000"/>
        </w:rPr>
        <w:t xml:space="preserve">1.7 </w:t>
      </w:r>
      <w:r>
        <w:rPr>
          <w:rFonts w:hint="eastAsia" w:ascii="Times New Roman" w:hAnsi="Times New Roman"/>
          <w:color w:val="000000"/>
        </w:rPr>
        <w:t>语言文字</w:t>
      </w:r>
      <w:bookmarkEnd w:id="86"/>
    </w:p>
    <w:p>
      <w:pPr>
        <w:spacing w:line="400" w:lineRule="exact"/>
        <w:ind w:firstLine="420" w:firstLineChars="200"/>
        <w:rPr>
          <w:rFonts w:ascii="Times New Roman" w:hAnsi="Times New Roman"/>
          <w:color w:val="000000"/>
        </w:rPr>
      </w:pPr>
      <w:r>
        <w:rPr>
          <w:rFonts w:ascii="Times New Roman" w:hAnsi="Times New Roman"/>
          <w:color w:val="000000"/>
        </w:rPr>
        <w:t>招标投标文件使用的语言文字为中文。专用术语使用外文的，应附有中文注释。</w:t>
      </w:r>
    </w:p>
    <w:p>
      <w:pPr>
        <w:pStyle w:val="4"/>
        <w:spacing w:line="240" w:lineRule="auto"/>
        <w:ind w:firstLine="137"/>
        <w:rPr>
          <w:rFonts w:ascii="Times New Roman" w:hAnsi="Times New Roman"/>
          <w:color w:val="000000"/>
        </w:rPr>
      </w:pPr>
      <w:bookmarkStart w:id="87" w:name="_Toc492300361"/>
      <w:r>
        <w:rPr>
          <w:rFonts w:ascii="Times New Roman" w:hAnsi="Times New Roman"/>
          <w:color w:val="000000"/>
        </w:rPr>
        <w:t>1.8</w:t>
      </w:r>
      <w:r>
        <w:rPr>
          <w:rFonts w:hint="eastAsia" w:ascii="Times New Roman" w:hAnsi="Times New Roman"/>
          <w:color w:val="000000"/>
        </w:rPr>
        <w:t>计量单位</w:t>
      </w:r>
      <w:bookmarkEnd w:id="87"/>
    </w:p>
    <w:p>
      <w:pPr>
        <w:spacing w:line="400" w:lineRule="exact"/>
        <w:ind w:firstLine="420" w:firstLineChars="200"/>
        <w:rPr>
          <w:rFonts w:ascii="Times New Roman" w:hAnsi="Times New Roman"/>
          <w:color w:val="000000"/>
        </w:rPr>
      </w:pPr>
      <w:r>
        <w:rPr>
          <w:rFonts w:ascii="Times New Roman" w:hAnsi="Times New Roman"/>
          <w:color w:val="000000"/>
        </w:rPr>
        <w:t>所有计量均采用中华人民共和国法定计量单位。</w:t>
      </w:r>
    </w:p>
    <w:p>
      <w:pPr>
        <w:pStyle w:val="4"/>
        <w:spacing w:line="240" w:lineRule="auto"/>
        <w:ind w:firstLine="137"/>
        <w:rPr>
          <w:rFonts w:ascii="Times New Roman" w:hAnsi="Times New Roman"/>
          <w:color w:val="000000"/>
        </w:rPr>
      </w:pPr>
      <w:bookmarkStart w:id="88" w:name="_Toc247513962"/>
      <w:bookmarkStart w:id="89" w:name="_Toc152042315"/>
      <w:bookmarkStart w:id="90" w:name="_Toc492300362"/>
      <w:bookmarkStart w:id="91" w:name="_Toc247527563"/>
      <w:bookmarkStart w:id="92" w:name="_Toc361508594"/>
      <w:bookmarkStart w:id="93" w:name="_Toc482188480"/>
      <w:bookmarkStart w:id="94" w:name="_Toc391393967"/>
      <w:bookmarkStart w:id="95" w:name="_Toc384308219"/>
      <w:bookmarkStart w:id="96" w:name="_Toc300834959"/>
      <w:bookmarkStart w:id="97" w:name="_Toc152045539"/>
      <w:bookmarkStart w:id="98" w:name="_Toc144974507"/>
      <w:bookmarkStart w:id="99" w:name="_Toc370676289"/>
      <w:r>
        <w:rPr>
          <w:rFonts w:ascii="Times New Roman" w:hAnsi="Times New Roman"/>
          <w:color w:val="000000"/>
        </w:rPr>
        <w:t xml:space="preserve">1.9 </w:t>
      </w:r>
      <w:r>
        <w:rPr>
          <w:rFonts w:hint="eastAsia" w:ascii="Times New Roman" w:hAnsi="Times New Roman"/>
          <w:color w:val="000000"/>
        </w:rPr>
        <w:t>踏勘现场</w:t>
      </w:r>
      <w:bookmarkEnd w:id="88"/>
      <w:bookmarkEnd w:id="89"/>
      <w:bookmarkEnd w:id="90"/>
      <w:bookmarkEnd w:id="91"/>
      <w:bookmarkEnd w:id="92"/>
      <w:bookmarkEnd w:id="93"/>
      <w:bookmarkEnd w:id="94"/>
      <w:bookmarkEnd w:id="95"/>
      <w:bookmarkEnd w:id="96"/>
      <w:bookmarkEnd w:id="97"/>
      <w:bookmarkEnd w:id="98"/>
      <w:bookmarkEnd w:id="99"/>
    </w:p>
    <w:p>
      <w:pPr>
        <w:spacing w:line="400" w:lineRule="exact"/>
        <w:ind w:firstLine="420" w:firstLineChars="200"/>
        <w:rPr>
          <w:rFonts w:ascii="Times New Roman" w:hAnsi="Times New Roman"/>
          <w:color w:val="000000"/>
        </w:rPr>
      </w:pPr>
      <w:r>
        <w:rPr>
          <w:rFonts w:ascii="Times New Roman" w:hAnsi="Times New Roman"/>
          <w:color w:val="000000"/>
        </w:rPr>
        <w:t>1.9.1 投标人须知前附表规定组织踏勘现场的，招标人按投标人须知前附表规定的时间、地点组织投标人踏勘项目现场。部分投标人未按时参加踏勘现场的，不影响踏勘现场的正常进行。</w:t>
      </w:r>
    </w:p>
    <w:p>
      <w:pPr>
        <w:spacing w:line="400" w:lineRule="exact"/>
        <w:ind w:firstLine="420" w:firstLineChars="200"/>
        <w:rPr>
          <w:rFonts w:ascii="Times New Roman" w:hAnsi="Times New Roman"/>
          <w:color w:val="000000"/>
        </w:rPr>
      </w:pPr>
      <w:r>
        <w:rPr>
          <w:rFonts w:ascii="Times New Roman" w:hAnsi="Times New Roman"/>
          <w:color w:val="000000"/>
        </w:rPr>
        <w:t>1.9.2 投标人踏勘现场发生的费用自理。</w:t>
      </w:r>
    </w:p>
    <w:p>
      <w:pPr>
        <w:spacing w:line="400" w:lineRule="exact"/>
        <w:ind w:firstLine="420" w:firstLineChars="200"/>
        <w:rPr>
          <w:rFonts w:ascii="Times New Roman" w:hAnsi="Times New Roman"/>
          <w:color w:val="000000"/>
        </w:rPr>
      </w:pPr>
      <w:r>
        <w:rPr>
          <w:rFonts w:ascii="Times New Roman" w:hAnsi="Times New Roman"/>
          <w:color w:val="000000"/>
        </w:rPr>
        <w:t>1.9.3 除招标人的原因外，投标人自行负责在踏勘现场中所发生的人员伤亡和财产损失。</w:t>
      </w:r>
    </w:p>
    <w:p>
      <w:pPr>
        <w:spacing w:line="400" w:lineRule="exact"/>
        <w:ind w:firstLine="420" w:firstLineChars="200"/>
        <w:rPr>
          <w:rFonts w:ascii="Times New Roman" w:hAnsi="Times New Roman"/>
          <w:color w:val="000000"/>
        </w:rPr>
      </w:pPr>
      <w:r>
        <w:rPr>
          <w:rFonts w:ascii="Times New Roman" w:hAnsi="Times New Roman"/>
          <w:color w:val="000000"/>
        </w:rPr>
        <w:t>1.9.4 招标人在踏勘现场中介绍的工程场地和相关的周边环境情况，供投标人在编制投标文件时参考，招标人不对投标人据此作出的判断和决策负责。</w:t>
      </w:r>
    </w:p>
    <w:p>
      <w:pPr>
        <w:pStyle w:val="4"/>
        <w:spacing w:line="240" w:lineRule="auto"/>
        <w:ind w:firstLine="137"/>
        <w:rPr>
          <w:rFonts w:ascii="Times New Roman" w:hAnsi="Times New Roman"/>
          <w:color w:val="000000"/>
        </w:rPr>
      </w:pPr>
      <w:bookmarkStart w:id="100" w:name="_Toc492300363"/>
      <w:r>
        <w:rPr>
          <w:rFonts w:ascii="Times New Roman" w:hAnsi="Times New Roman"/>
          <w:color w:val="000000"/>
        </w:rPr>
        <w:t>1.10</w:t>
      </w:r>
      <w:r>
        <w:rPr>
          <w:rFonts w:hint="eastAsia" w:ascii="Times New Roman" w:hAnsi="Times New Roman"/>
          <w:color w:val="000000"/>
        </w:rPr>
        <w:t>投标预备会</w:t>
      </w:r>
      <w:bookmarkEnd w:id="100"/>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.1 投标人须知前附表规定召开投标预备会的，招标人按投标人须知前附表规定的时间和地点召开投标预备会，澄清投标人提出的问题。</w:t>
      </w:r>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.2 投标人应按投标人须知前附表规定的时间和形式将提出的问题送达招标人，以便招标人在会议期间澄清。</w:t>
      </w:r>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.3 投标预备会后，招标人将对投标人所提问题的澄清，以投标人须知前附表规定的形式通知所有购买招标文件的投标人。该澄清内容为招标文件的组成部分。</w:t>
      </w:r>
    </w:p>
    <w:p>
      <w:pPr>
        <w:pStyle w:val="4"/>
        <w:spacing w:line="240" w:lineRule="auto"/>
        <w:ind w:firstLine="137"/>
        <w:rPr>
          <w:rFonts w:ascii="Times New Roman" w:hAnsi="Times New Roman"/>
          <w:color w:val="000000"/>
        </w:rPr>
      </w:pPr>
      <w:bookmarkStart w:id="101" w:name="_Toc492300364"/>
      <w:r>
        <w:rPr>
          <w:rFonts w:ascii="Times New Roman" w:hAnsi="Times New Roman"/>
          <w:color w:val="000000"/>
        </w:rPr>
        <w:t xml:space="preserve">1.11 </w:t>
      </w:r>
      <w:r>
        <w:rPr>
          <w:rFonts w:hint="eastAsia" w:ascii="Times New Roman" w:hAnsi="Times New Roman"/>
          <w:color w:val="000000"/>
        </w:rPr>
        <w:t>分包</w:t>
      </w:r>
      <w:bookmarkEnd w:id="101"/>
    </w:p>
    <w:p>
      <w:pPr>
        <w:spacing w:line="400" w:lineRule="exact"/>
        <w:ind w:firstLine="420" w:firstLineChars="200"/>
        <w:rPr>
          <w:rFonts w:ascii="Times New Roman" w:hAnsi="Times New Roman"/>
          <w:color w:val="000000"/>
          <w:szCs w:val="20"/>
        </w:rPr>
      </w:pPr>
      <w:r>
        <w:rPr>
          <w:rFonts w:ascii="Times New Roman" w:hAnsi="Times New Roman"/>
          <w:color w:val="000000"/>
        </w:rPr>
        <w:t>1.11.1 投标人拟在中标后将中标项目的非主体</w:t>
      </w:r>
      <w:r>
        <w:rPr>
          <w:rFonts w:hint="eastAsia" w:ascii="Times New Roman" w:hAnsi="Times New Roman"/>
          <w:color w:val="000000"/>
        </w:rPr>
        <w:t>、非关键性</w:t>
      </w:r>
      <w:r>
        <w:rPr>
          <w:rFonts w:ascii="Times New Roman" w:hAnsi="Times New Roman"/>
          <w:color w:val="000000"/>
        </w:rPr>
        <w:t>设计工作进行分包的，应符合投标人须知前附表规定的分包内容、分包金额和资质要求等限制性条件，除投标人须知前附表规定的非主体</w:t>
      </w:r>
      <w:r>
        <w:rPr>
          <w:rFonts w:hint="eastAsia" w:ascii="Times New Roman" w:hAnsi="Times New Roman"/>
          <w:color w:val="000000"/>
        </w:rPr>
        <w:t>、非关键性</w:t>
      </w:r>
      <w:r>
        <w:rPr>
          <w:rFonts w:ascii="Times New Roman" w:hAnsi="Times New Roman"/>
          <w:color w:val="000000"/>
        </w:rPr>
        <w:t>设计</w:t>
      </w:r>
      <w:r>
        <w:rPr>
          <w:rFonts w:hint="eastAsia" w:ascii="Times New Roman" w:hAnsi="Times New Roman"/>
          <w:color w:val="000000"/>
        </w:rPr>
        <w:t>工作</w:t>
      </w:r>
      <w:r>
        <w:rPr>
          <w:rFonts w:ascii="Times New Roman" w:hAnsi="Times New Roman"/>
          <w:color w:val="000000"/>
        </w:rPr>
        <w:t xml:space="preserve">外，其他工作不得分包。 </w:t>
      </w:r>
    </w:p>
    <w:p>
      <w:pPr>
        <w:spacing w:line="400" w:lineRule="exact"/>
        <w:ind w:firstLine="420" w:firstLineChars="200"/>
        <w:rPr>
          <w:rFonts w:ascii="Times New Roman" w:hAnsi="Times New Roman"/>
          <w:color w:val="000000"/>
        </w:rPr>
      </w:pPr>
      <w:r>
        <w:rPr>
          <w:rFonts w:ascii="Times New Roman" w:hAnsi="Times New Roman"/>
          <w:color w:val="000000"/>
        </w:rPr>
        <w:t>1.11.2中标人不得向他人转让中标项目，接受分包的人不得再次分包。中标人应当就分包项目向招标人负责，接受分包的人就分包项目承担连带责任。</w:t>
      </w:r>
    </w:p>
    <w:p>
      <w:pPr>
        <w:pStyle w:val="4"/>
        <w:spacing w:line="240" w:lineRule="auto"/>
        <w:ind w:firstLine="137"/>
        <w:rPr>
          <w:rFonts w:ascii="Times New Roman" w:hAnsi="Times New Roman"/>
          <w:color w:val="000000"/>
        </w:rPr>
      </w:pPr>
      <w:bookmarkStart w:id="102" w:name="_Toc492300365"/>
      <w:r>
        <w:rPr>
          <w:rFonts w:ascii="Times New Roman" w:hAnsi="Times New Roman"/>
          <w:color w:val="000000"/>
        </w:rPr>
        <w:t>1.12</w:t>
      </w:r>
      <w:r>
        <w:rPr>
          <w:rFonts w:hint="eastAsia" w:ascii="Times New Roman" w:hAnsi="Times New Roman"/>
          <w:color w:val="000000"/>
        </w:rPr>
        <w:t>响应和偏差</w:t>
      </w:r>
      <w:bookmarkEnd w:id="102"/>
    </w:p>
    <w:p>
      <w:pPr>
        <w:spacing w:line="400" w:lineRule="exact"/>
        <w:ind w:firstLine="420" w:firstLineChars="200"/>
        <w:rPr>
          <w:rFonts w:ascii="Times New Roman" w:hAnsi="Times New Roman"/>
          <w:color w:val="000000"/>
        </w:rPr>
      </w:pPr>
      <w:r>
        <w:rPr>
          <w:rFonts w:ascii="Times New Roman" w:hAnsi="Times New Roman"/>
          <w:color w:val="000000"/>
        </w:rPr>
        <w:t>1.12.1投标文件应当对招标文件的实质性要求和条件作出满足性或更有利于招标人的响应，否则，投标人的投标将被否决。实质性要求和条件见投标人须知前附表。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 xml:space="preserve">1.12.2 </w:t>
      </w:r>
      <w:r>
        <w:rPr>
          <w:rFonts w:ascii="Times New Roman" w:hAnsi="Times New Roman"/>
          <w:szCs w:val="21"/>
        </w:rPr>
        <w:t>投标人应根据招标文件的要求提供</w:t>
      </w:r>
      <w:r>
        <w:rPr>
          <w:rFonts w:ascii="Times New Roman" w:hAnsi="Times New Roman"/>
        </w:rPr>
        <w:t>投标设计方案等内容以对招标文件作出响应。</w:t>
      </w:r>
    </w:p>
    <w:p>
      <w:pPr>
        <w:spacing w:line="400" w:lineRule="exact"/>
        <w:ind w:firstLine="435"/>
        <w:rPr>
          <w:rFonts w:ascii="Times New Roman" w:hAnsi="Times New Roman"/>
        </w:rPr>
      </w:pPr>
      <w:r>
        <w:rPr>
          <w:rFonts w:ascii="Times New Roman" w:hAnsi="Times New Roman"/>
        </w:rPr>
        <w:t>1.12.3投标人须知前附表允许投标文件偏离招标文件某些要求的，偏差应当符合招标文件规定的偏差范围和幅度。</w:t>
      </w:r>
    </w:p>
    <w:p>
      <w:pPr>
        <w:pStyle w:val="3"/>
        <w:rPr>
          <w:rFonts w:ascii="Times New Roman" w:hAnsi="Times New Roman"/>
          <w:color w:val="000000"/>
        </w:rPr>
      </w:pPr>
      <w:bookmarkStart w:id="103" w:name="_Toc492300366"/>
      <w:r>
        <w:rPr>
          <w:rFonts w:ascii="Times New Roman" w:hAnsi="Times New Roman"/>
          <w:color w:val="000000"/>
        </w:rPr>
        <w:t xml:space="preserve">2. </w:t>
      </w:r>
      <w:r>
        <w:rPr>
          <w:rFonts w:hint="eastAsia" w:ascii="Times New Roman" w:hAnsi="Times New Roman"/>
          <w:color w:val="000000"/>
        </w:rPr>
        <w:t>招标文件</w:t>
      </w:r>
      <w:bookmarkEnd w:id="103"/>
    </w:p>
    <w:p>
      <w:pPr>
        <w:pStyle w:val="4"/>
        <w:spacing w:line="240" w:lineRule="auto"/>
        <w:ind w:firstLine="137"/>
        <w:rPr>
          <w:rFonts w:ascii="Times New Roman" w:hAnsi="Times New Roman"/>
          <w:color w:val="000000"/>
        </w:rPr>
      </w:pPr>
      <w:bookmarkStart w:id="104" w:name="_Toc492300367"/>
      <w:r>
        <w:rPr>
          <w:rFonts w:ascii="Times New Roman" w:hAnsi="Times New Roman"/>
          <w:color w:val="000000"/>
        </w:rPr>
        <w:t xml:space="preserve">2.1 </w:t>
      </w:r>
      <w:r>
        <w:rPr>
          <w:rFonts w:hint="eastAsia" w:ascii="Times New Roman" w:hAnsi="Times New Roman"/>
          <w:color w:val="000000"/>
        </w:rPr>
        <w:t>招标文件的组成</w:t>
      </w:r>
      <w:bookmarkEnd w:id="104"/>
    </w:p>
    <w:p>
      <w:pPr>
        <w:spacing w:line="400" w:lineRule="exact"/>
        <w:ind w:firstLine="359" w:firstLineChars="171"/>
        <w:rPr>
          <w:rFonts w:ascii="Times New Roman" w:hAnsi="Times New Roman"/>
          <w:color w:val="000000"/>
        </w:rPr>
      </w:pPr>
      <w:r>
        <w:rPr>
          <w:rFonts w:ascii="Times New Roman" w:hAnsi="Times New Roman"/>
          <w:color w:val="000000"/>
        </w:rPr>
        <w:t>本招标文件包括：</w:t>
      </w:r>
    </w:p>
    <w:p>
      <w:pPr>
        <w:spacing w:line="400" w:lineRule="exact"/>
        <w:ind w:firstLine="359" w:firstLineChars="171"/>
        <w:rPr>
          <w:rFonts w:ascii="Times New Roman" w:hAnsi="Times New Roman"/>
          <w:color w:val="000000"/>
        </w:rPr>
      </w:pPr>
      <w:r>
        <w:rPr>
          <w:rFonts w:ascii="Times New Roman" w:hAnsi="Times New Roman"/>
          <w:color w:val="000000"/>
        </w:rPr>
        <w:t>（1）招标公告（或投标邀请书）；</w:t>
      </w:r>
    </w:p>
    <w:p>
      <w:pPr>
        <w:spacing w:line="400" w:lineRule="exact"/>
        <w:ind w:firstLine="359" w:firstLineChars="171"/>
        <w:rPr>
          <w:rFonts w:ascii="Times New Roman" w:hAnsi="Times New Roman"/>
          <w:color w:val="000000"/>
        </w:rPr>
      </w:pPr>
      <w:r>
        <w:rPr>
          <w:rFonts w:ascii="Times New Roman" w:hAnsi="Times New Roman"/>
          <w:color w:val="000000"/>
        </w:rPr>
        <w:t>（2）投标人须知；</w:t>
      </w:r>
    </w:p>
    <w:p>
      <w:pPr>
        <w:spacing w:line="400" w:lineRule="exact"/>
        <w:ind w:firstLine="359" w:firstLineChars="171"/>
        <w:rPr>
          <w:rFonts w:ascii="Times New Roman" w:hAnsi="Times New Roman"/>
          <w:color w:val="000000"/>
        </w:rPr>
      </w:pPr>
      <w:r>
        <w:rPr>
          <w:rFonts w:ascii="Times New Roman" w:hAnsi="Times New Roman"/>
          <w:color w:val="000000"/>
        </w:rPr>
        <w:t>（3）评标办法；</w:t>
      </w:r>
    </w:p>
    <w:p>
      <w:pPr>
        <w:spacing w:line="400" w:lineRule="exact"/>
        <w:ind w:firstLine="359" w:firstLineChars="171"/>
        <w:rPr>
          <w:rFonts w:ascii="Times New Roman" w:hAnsi="Times New Roman"/>
          <w:color w:val="000000"/>
        </w:rPr>
      </w:pPr>
      <w:r>
        <w:rPr>
          <w:rFonts w:ascii="Times New Roman" w:hAnsi="Times New Roman"/>
          <w:color w:val="000000"/>
        </w:rPr>
        <w:t>（4）合同条款及格式；</w:t>
      </w:r>
    </w:p>
    <w:p>
      <w:pPr>
        <w:spacing w:line="400" w:lineRule="exact"/>
        <w:ind w:firstLine="359" w:firstLineChars="171"/>
        <w:rPr>
          <w:rFonts w:ascii="Times New Roman" w:hAnsi="Times New Roman"/>
        </w:rPr>
      </w:pPr>
      <w:r>
        <w:rPr>
          <w:rFonts w:ascii="Times New Roman" w:hAnsi="Times New Roman"/>
          <w:color w:val="000000"/>
        </w:rPr>
        <w:t>（5）</w:t>
      </w:r>
      <w:r>
        <w:rPr>
          <w:rFonts w:ascii="Times New Roman" w:hAnsi="Times New Roman"/>
        </w:rPr>
        <w:t>发包人要求；</w:t>
      </w:r>
    </w:p>
    <w:p>
      <w:pPr>
        <w:spacing w:line="400" w:lineRule="exact"/>
        <w:ind w:firstLine="359" w:firstLineChars="171"/>
        <w:rPr>
          <w:rFonts w:ascii="Times New Roman" w:hAnsi="Times New Roman"/>
        </w:rPr>
      </w:pPr>
      <w:r>
        <w:rPr>
          <w:rFonts w:ascii="Times New Roman" w:hAnsi="Times New Roman"/>
        </w:rPr>
        <w:t>（6）投标文件格式；</w:t>
      </w:r>
    </w:p>
    <w:p>
      <w:pPr>
        <w:spacing w:line="400" w:lineRule="exact"/>
        <w:ind w:firstLine="359" w:firstLineChars="171"/>
        <w:rPr>
          <w:rFonts w:ascii="Times New Roman" w:hAnsi="Times New Roman"/>
          <w:color w:val="000000"/>
        </w:rPr>
      </w:pPr>
      <w:r>
        <w:rPr>
          <w:rFonts w:ascii="Times New Roman" w:hAnsi="Times New Roman"/>
        </w:rPr>
        <w:t>（7</w:t>
      </w:r>
      <w:r>
        <w:rPr>
          <w:rFonts w:ascii="Times New Roman" w:hAnsi="Times New Roman"/>
          <w:color w:val="000000"/>
        </w:rPr>
        <w:t>）投标人须知前附表规定的其他资料。</w:t>
      </w:r>
    </w:p>
    <w:p>
      <w:pPr>
        <w:spacing w:line="400" w:lineRule="exact"/>
        <w:ind w:firstLine="420" w:firstLineChars="200"/>
        <w:rPr>
          <w:rFonts w:ascii="Times New Roman" w:hAnsi="Times New Roman"/>
          <w:color w:val="000000"/>
        </w:rPr>
      </w:pPr>
      <w:r>
        <w:rPr>
          <w:rFonts w:ascii="Times New Roman" w:hAnsi="Times New Roman"/>
          <w:color w:val="000000"/>
        </w:rPr>
        <w:t>根据本章第1.10款、第2.2款和第2.3款对招标文件所作的澄清、修改，构成招标文件的组成部分。</w:t>
      </w:r>
    </w:p>
    <w:p>
      <w:pPr>
        <w:pStyle w:val="4"/>
        <w:spacing w:line="240" w:lineRule="auto"/>
        <w:ind w:firstLine="137"/>
        <w:rPr>
          <w:rFonts w:ascii="Times New Roman" w:hAnsi="Times New Roman"/>
          <w:color w:val="000000"/>
        </w:rPr>
      </w:pPr>
      <w:bookmarkStart w:id="105" w:name="_Toc492300368"/>
      <w:r>
        <w:rPr>
          <w:rFonts w:ascii="Times New Roman" w:hAnsi="Times New Roman"/>
          <w:color w:val="000000"/>
        </w:rPr>
        <w:t xml:space="preserve">2.2 </w:t>
      </w:r>
      <w:r>
        <w:rPr>
          <w:rFonts w:hint="eastAsia" w:ascii="Times New Roman" w:hAnsi="Times New Roman"/>
          <w:color w:val="000000"/>
        </w:rPr>
        <w:t>招标文件的澄清</w:t>
      </w:r>
      <w:bookmarkEnd w:id="105"/>
    </w:p>
    <w:p>
      <w:pPr>
        <w:spacing w:line="400" w:lineRule="exact"/>
        <w:ind w:firstLine="420" w:firstLineChars="200"/>
        <w:rPr>
          <w:rFonts w:ascii="Times New Roman" w:hAnsi="Times New Roman"/>
          <w:color w:val="000000"/>
        </w:rPr>
      </w:pPr>
      <w:r>
        <w:rPr>
          <w:rFonts w:ascii="Times New Roman" w:hAnsi="Times New Roman"/>
          <w:color w:val="000000"/>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pPr>
        <w:spacing w:line="400" w:lineRule="exact"/>
        <w:ind w:firstLine="420" w:firstLineChars="200"/>
        <w:rPr>
          <w:rFonts w:ascii="Times New Roman" w:hAnsi="Times New Roman"/>
          <w:color w:val="000000"/>
        </w:rPr>
      </w:pPr>
      <w:r>
        <w:rPr>
          <w:rFonts w:ascii="Times New Roman" w:hAnsi="Times New Roman"/>
          <w:color w:val="000000"/>
        </w:rPr>
        <w:t>2.2.2招标文件的澄清以投标人须知前附表规定的形式发给所有购买招标文件的投标人，但不指明澄清问题的来源。澄清发出的时间距本章第4.2.1项规定的投标截止时间不足15日的，并且澄清内容可能影响投标文件编制的，将相应延长投标截止时间。</w:t>
      </w:r>
    </w:p>
    <w:p>
      <w:pPr>
        <w:spacing w:line="400" w:lineRule="exact"/>
        <w:ind w:firstLine="420" w:firstLineChars="200"/>
        <w:rPr>
          <w:rFonts w:ascii="Times New Roman" w:hAnsi="Times New Roman"/>
          <w:color w:val="000000"/>
        </w:rPr>
      </w:pPr>
      <w:r>
        <w:rPr>
          <w:rFonts w:ascii="Times New Roman" w:hAnsi="Times New Roman"/>
          <w:color w:val="000000"/>
        </w:rPr>
        <w:t>2.2.3 投标人在收到澄清后，应按投标人须知前附表规定的时间和形式通知招标人，确认已收到该澄清。</w:t>
      </w:r>
    </w:p>
    <w:p>
      <w:pPr>
        <w:spacing w:line="400" w:lineRule="exact"/>
        <w:ind w:firstLine="420" w:firstLineChars="200"/>
        <w:rPr>
          <w:rFonts w:ascii="Times New Roman" w:hAnsi="Times New Roman"/>
          <w:color w:val="000000"/>
        </w:rPr>
      </w:pPr>
      <w:r>
        <w:rPr>
          <w:rFonts w:ascii="Times New Roman" w:hAnsi="Times New Roman"/>
          <w:color w:val="000000"/>
        </w:rPr>
        <w:t>2.2.4 除非招标人认为确有必要答复，否则，招标人有权拒绝回复投标人在</w:t>
      </w:r>
      <w:r>
        <w:rPr>
          <w:rFonts w:hint="eastAsia" w:ascii="Times New Roman" w:hAnsi="Times New Roman"/>
          <w:color w:val="000000"/>
        </w:rPr>
        <w:t>本章第2.2.1项</w:t>
      </w:r>
      <w:r>
        <w:rPr>
          <w:rFonts w:ascii="Times New Roman" w:hAnsi="Times New Roman"/>
          <w:color w:val="000000"/>
        </w:rPr>
        <w:t>规定的时间后的任何澄清要求。</w:t>
      </w:r>
    </w:p>
    <w:p>
      <w:pPr>
        <w:pStyle w:val="4"/>
        <w:spacing w:line="240" w:lineRule="auto"/>
        <w:ind w:firstLine="137"/>
        <w:rPr>
          <w:rFonts w:ascii="Times New Roman" w:hAnsi="Times New Roman"/>
          <w:color w:val="000000"/>
        </w:rPr>
      </w:pPr>
      <w:bookmarkStart w:id="106" w:name="_Toc492300369"/>
      <w:bookmarkStart w:id="107" w:name="_Toc352691479"/>
      <w:r>
        <w:rPr>
          <w:rFonts w:ascii="Times New Roman" w:hAnsi="Times New Roman"/>
          <w:color w:val="000000"/>
        </w:rPr>
        <w:t xml:space="preserve">2.3 </w:t>
      </w:r>
      <w:r>
        <w:rPr>
          <w:rFonts w:hint="eastAsia" w:ascii="Times New Roman" w:hAnsi="Times New Roman"/>
          <w:color w:val="000000"/>
        </w:rPr>
        <w:t>招标文件的修</w:t>
      </w:r>
      <w:bookmarkStart w:id="108" w:name="_Toc369531521"/>
      <w:bookmarkStart w:id="109" w:name="_Toc16514"/>
      <w:r>
        <w:rPr>
          <w:rFonts w:hint="eastAsia" w:ascii="Times New Roman" w:hAnsi="Times New Roman"/>
          <w:color w:val="000000"/>
        </w:rPr>
        <w:t>改</w:t>
      </w:r>
      <w:bookmarkEnd w:id="106"/>
    </w:p>
    <w:p>
      <w:pPr>
        <w:spacing w:line="400" w:lineRule="exact"/>
        <w:ind w:firstLine="420" w:firstLineChars="200"/>
        <w:rPr>
          <w:rFonts w:ascii="Times New Roman" w:hAnsi="Times New Roman"/>
          <w:color w:val="000000"/>
        </w:rPr>
      </w:pPr>
      <w:r>
        <w:rPr>
          <w:rFonts w:ascii="Times New Roman" w:hAnsi="Times New Roman"/>
          <w:color w:val="000000"/>
        </w:rPr>
        <w:t>2.3.1招标人以投标人须知前附表规定的形式修改招标文件，并通知所有已购买招标文件的投标人。修改招标文件的时间距本章第4.2.1项规定的投标截止时间不足15日的，并且修改内容可能影响投标文件编制的，将相应延长投标截止时间。</w:t>
      </w:r>
    </w:p>
    <w:bookmarkEnd w:id="107"/>
    <w:bookmarkEnd w:id="108"/>
    <w:bookmarkEnd w:id="109"/>
    <w:p>
      <w:pPr>
        <w:spacing w:line="400" w:lineRule="exact"/>
        <w:ind w:firstLine="420" w:firstLineChars="200"/>
        <w:rPr>
          <w:rFonts w:ascii="Times New Roman" w:hAnsi="Times New Roman"/>
          <w:color w:val="000000"/>
        </w:rPr>
      </w:pPr>
      <w:r>
        <w:rPr>
          <w:rFonts w:ascii="Times New Roman" w:hAnsi="Times New Roman"/>
          <w:color w:val="000000"/>
        </w:rPr>
        <w:t>2.3.2 投标人收到修改内容</w:t>
      </w:r>
      <w:bookmarkStart w:id="110" w:name="_Toc247513961"/>
      <w:bookmarkStart w:id="111" w:name="_Toc352691482"/>
      <w:bookmarkStart w:id="112" w:name="_Toc369531524"/>
      <w:bookmarkStart w:id="113" w:name="_Toc361508593"/>
      <w:bookmarkStart w:id="114" w:name="_Toc152045538"/>
      <w:bookmarkStart w:id="115" w:name="_Toc300834958"/>
      <w:bookmarkStart w:id="116" w:name="_Toc152042314"/>
      <w:bookmarkStart w:id="117" w:name="_Toc384308218"/>
      <w:bookmarkStart w:id="118" w:name="_Toc144974506"/>
      <w:bookmarkStart w:id="119" w:name="_Toc247527562"/>
      <w:bookmarkStart w:id="120" w:name="_Toc24632"/>
      <w:r>
        <w:rPr>
          <w:rFonts w:ascii="Times New Roman" w:hAnsi="Times New Roman"/>
          <w:color w:val="000000"/>
        </w:rPr>
        <w:t>后，</w:t>
      </w:r>
      <w:bookmarkEnd w:id="110"/>
      <w:bookmarkEnd w:id="111"/>
      <w:bookmarkEnd w:id="112"/>
      <w:bookmarkEnd w:id="113"/>
      <w:bookmarkEnd w:id="114"/>
      <w:bookmarkEnd w:id="115"/>
      <w:bookmarkEnd w:id="116"/>
      <w:bookmarkEnd w:id="117"/>
      <w:bookmarkEnd w:id="118"/>
      <w:bookmarkEnd w:id="119"/>
      <w:bookmarkEnd w:id="120"/>
      <w:bookmarkStart w:id="121" w:name="_Toc361508595"/>
      <w:bookmarkStart w:id="122" w:name="_Toc152042316"/>
      <w:bookmarkStart w:id="123" w:name="_Toc247527564"/>
      <w:bookmarkStart w:id="124" w:name="_Toc300834960"/>
      <w:bookmarkStart w:id="125" w:name="_Toc16623"/>
      <w:bookmarkStart w:id="126" w:name="_Toc152045540"/>
      <w:bookmarkStart w:id="127" w:name="_Toc369531526"/>
      <w:bookmarkStart w:id="128" w:name="_Toc247513963"/>
      <w:bookmarkStart w:id="129" w:name="_Toc352691484"/>
      <w:bookmarkStart w:id="130" w:name="_Toc384308220"/>
      <w:bookmarkStart w:id="131" w:name="_Toc144974508"/>
      <w:r>
        <w:rPr>
          <w:rFonts w:ascii="Times New Roman" w:hAnsi="Times New Roman"/>
          <w:color w:val="000000"/>
        </w:rPr>
        <w:t>应按投标人须知前附表规定的时间和形式通知招标人，确认已收到该修改。</w:t>
      </w:r>
    </w:p>
    <w:p>
      <w:pPr>
        <w:pStyle w:val="4"/>
        <w:spacing w:line="240" w:lineRule="auto"/>
        <w:ind w:firstLine="137"/>
        <w:rPr>
          <w:rFonts w:ascii="Times New Roman" w:hAnsi="Times New Roman"/>
          <w:color w:val="000000"/>
        </w:rPr>
      </w:pPr>
      <w:bookmarkStart w:id="132" w:name="_Toc492300370"/>
      <w:r>
        <w:rPr>
          <w:rFonts w:ascii="Times New Roman" w:hAnsi="Times New Roman"/>
          <w:color w:val="000000"/>
        </w:rPr>
        <w:t>2.</w:t>
      </w:r>
      <w:bookmarkEnd w:id="121"/>
      <w:bookmarkEnd w:id="122"/>
      <w:bookmarkEnd w:id="123"/>
      <w:bookmarkEnd w:id="124"/>
      <w:bookmarkEnd w:id="125"/>
      <w:bookmarkEnd w:id="126"/>
      <w:bookmarkEnd w:id="127"/>
      <w:bookmarkEnd w:id="128"/>
      <w:bookmarkEnd w:id="129"/>
      <w:bookmarkEnd w:id="130"/>
      <w:bookmarkEnd w:id="131"/>
      <w:r>
        <w:rPr>
          <w:rFonts w:ascii="Times New Roman" w:hAnsi="Times New Roman"/>
          <w:color w:val="000000"/>
        </w:rPr>
        <w:t>4 招标文件的异议</w:t>
      </w:r>
      <w:bookmarkEnd w:id="132"/>
    </w:p>
    <w:p>
      <w:pPr>
        <w:spacing w:line="400" w:lineRule="exact"/>
        <w:ind w:firstLine="420" w:firstLineChars="200"/>
        <w:rPr>
          <w:rFonts w:ascii="Times New Roman" w:hAnsi="Times New Roman"/>
          <w:color w:val="000000"/>
        </w:rPr>
      </w:pPr>
      <w:r>
        <w:rPr>
          <w:rFonts w:ascii="Times New Roman" w:hAnsi="Times New Roman"/>
          <w:color w:val="000000"/>
        </w:rPr>
        <w:t>投标人或者其他利害关系人对招标文件有异议的，应当在投标截止时间10日前以书面形式提出。招标人将在收到异议之日起3日内作出答复；作出答复前，将暂停招标投标活动。</w:t>
      </w:r>
    </w:p>
    <w:p>
      <w:pPr>
        <w:pStyle w:val="3"/>
        <w:rPr>
          <w:rFonts w:ascii="Times New Roman" w:hAnsi="Times New Roman"/>
          <w:color w:val="000000"/>
        </w:rPr>
      </w:pPr>
      <w:bookmarkStart w:id="133" w:name="_Toc492300371"/>
      <w:r>
        <w:rPr>
          <w:rFonts w:ascii="Times New Roman" w:hAnsi="Times New Roman"/>
          <w:color w:val="000000"/>
        </w:rPr>
        <w:t xml:space="preserve">3. </w:t>
      </w:r>
      <w:r>
        <w:rPr>
          <w:rFonts w:hint="eastAsia" w:ascii="Times New Roman" w:hAnsi="Times New Roman"/>
          <w:color w:val="000000"/>
        </w:rPr>
        <w:t>投标文件</w:t>
      </w:r>
      <w:bookmarkEnd w:id="133"/>
    </w:p>
    <w:p>
      <w:pPr>
        <w:pStyle w:val="4"/>
        <w:spacing w:line="240" w:lineRule="auto"/>
        <w:ind w:firstLine="137"/>
        <w:rPr>
          <w:rFonts w:ascii="Times New Roman" w:hAnsi="Times New Roman"/>
          <w:color w:val="000000"/>
        </w:rPr>
      </w:pPr>
      <w:bookmarkStart w:id="134" w:name="_Toc492300372"/>
      <w:r>
        <w:rPr>
          <w:rFonts w:ascii="Times New Roman" w:hAnsi="Times New Roman"/>
          <w:color w:val="000000"/>
        </w:rPr>
        <w:t xml:space="preserve">3.1 </w:t>
      </w:r>
      <w:r>
        <w:rPr>
          <w:rFonts w:hint="eastAsia" w:ascii="Times New Roman" w:hAnsi="Times New Roman"/>
          <w:color w:val="000000"/>
        </w:rPr>
        <w:t>投标文件的组成</w:t>
      </w:r>
      <w:bookmarkEnd w:id="134"/>
    </w:p>
    <w:p>
      <w:pPr>
        <w:spacing w:line="400" w:lineRule="exact"/>
        <w:rPr>
          <w:rFonts w:ascii="Times New Roman" w:hAnsi="Times New Roman"/>
        </w:rPr>
      </w:pPr>
      <w:r>
        <w:rPr>
          <w:rFonts w:ascii="Times New Roman" w:hAnsi="Times New Roman"/>
        </w:rPr>
        <w:t>　　3.1.1 投标文件应包括下列内容：</w:t>
      </w:r>
    </w:p>
    <w:p>
      <w:pPr>
        <w:spacing w:line="400" w:lineRule="exact"/>
        <w:ind w:firstLine="420" w:firstLineChars="200"/>
        <w:rPr>
          <w:rFonts w:ascii="Times New Roman" w:hAnsi="Times New Roman"/>
        </w:rPr>
      </w:pPr>
      <w:r>
        <w:rPr>
          <w:rFonts w:ascii="Times New Roman" w:hAnsi="Times New Roman"/>
        </w:rPr>
        <w:t>（1）投标函及投标函附录；</w:t>
      </w:r>
    </w:p>
    <w:p>
      <w:pPr>
        <w:spacing w:line="400" w:lineRule="exact"/>
        <w:ind w:firstLine="420" w:firstLineChars="200"/>
        <w:rPr>
          <w:rFonts w:ascii="Times New Roman" w:hAnsi="Times New Roman"/>
        </w:rPr>
      </w:pPr>
      <w:r>
        <w:rPr>
          <w:rFonts w:ascii="Times New Roman" w:hAnsi="Times New Roman"/>
        </w:rPr>
        <w:t>（2）法定代表人身份证明或授权委托书；</w:t>
      </w:r>
    </w:p>
    <w:p>
      <w:pPr>
        <w:spacing w:line="400" w:lineRule="exact"/>
        <w:ind w:firstLine="420" w:firstLineChars="200"/>
        <w:rPr>
          <w:rFonts w:ascii="Times New Roman" w:hAnsi="Times New Roman"/>
        </w:rPr>
      </w:pPr>
      <w:r>
        <w:rPr>
          <w:rFonts w:ascii="Times New Roman" w:hAnsi="Times New Roman"/>
        </w:rPr>
        <w:t>（3）联合体协议书；</w:t>
      </w:r>
    </w:p>
    <w:p>
      <w:pPr>
        <w:spacing w:line="400" w:lineRule="exact"/>
        <w:ind w:firstLine="420" w:firstLineChars="200"/>
        <w:rPr>
          <w:rFonts w:ascii="Times New Roman" w:hAnsi="Times New Roman"/>
        </w:rPr>
      </w:pPr>
      <w:r>
        <w:rPr>
          <w:rFonts w:ascii="Times New Roman" w:hAnsi="Times New Roman"/>
        </w:rPr>
        <w:t>（4）投标保证金；</w:t>
      </w:r>
    </w:p>
    <w:p>
      <w:pPr>
        <w:spacing w:line="400" w:lineRule="exact"/>
        <w:ind w:firstLine="420" w:firstLineChars="200"/>
        <w:rPr>
          <w:rFonts w:ascii="Times New Roman" w:hAnsi="Times New Roman"/>
        </w:rPr>
      </w:pPr>
      <w:r>
        <w:rPr>
          <w:rFonts w:ascii="Times New Roman" w:hAnsi="Times New Roman"/>
        </w:rPr>
        <w:t>（5）设计费用清单；</w:t>
      </w:r>
    </w:p>
    <w:p>
      <w:pPr>
        <w:spacing w:line="400" w:lineRule="exact"/>
        <w:ind w:firstLine="420" w:firstLineChars="200"/>
        <w:rPr>
          <w:rFonts w:ascii="Times New Roman" w:hAnsi="Times New Roman"/>
        </w:rPr>
      </w:pPr>
      <w:r>
        <w:rPr>
          <w:rFonts w:ascii="Times New Roman" w:hAnsi="Times New Roman"/>
        </w:rPr>
        <w:t>（6）资格审查资料；</w:t>
      </w:r>
    </w:p>
    <w:p>
      <w:pPr>
        <w:spacing w:line="400" w:lineRule="exact"/>
        <w:ind w:firstLine="420" w:firstLineChars="200"/>
        <w:rPr>
          <w:rFonts w:ascii="Times New Roman" w:hAnsi="Times New Roman"/>
        </w:rPr>
      </w:pPr>
      <w:r>
        <w:rPr>
          <w:rFonts w:ascii="Times New Roman" w:hAnsi="Times New Roman"/>
        </w:rPr>
        <w:t>（7）设计方案；</w:t>
      </w:r>
    </w:p>
    <w:p>
      <w:pPr>
        <w:spacing w:line="400" w:lineRule="exact"/>
        <w:ind w:firstLine="420" w:firstLineChars="200"/>
        <w:rPr>
          <w:rFonts w:ascii="Times New Roman" w:hAnsi="Times New Roman"/>
        </w:rPr>
      </w:pPr>
      <w:r>
        <w:rPr>
          <w:rFonts w:ascii="Times New Roman" w:hAnsi="Times New Roman"/>
        </w:rPr>
        <w:t>（8）投标人须知前附表规定的其他资料。</w:t>
      </w:r>
    </w:p>
    <w:p>
      <w:pPr>
        <w:spacing w:line="400" w:lineRule="exact"/>
        <w:ind w:firstLine="420" w:firstLineChars="200"/>
        <w:rPr>
          <w:rFonts w:ascii="Times New Roman" w:hAnsi="Times New Roman"/>
        </w:rPr>
      </w:pPr>
      <w:r>
        <w:rPr>
          <w:rFonts w:ascii="Times New Roman" w:hAnsi="Times New Roman"/>
        </w:rPr>
        <w:t>投标人在评标过程中作出的符合法律法规和招标文件规定的澄清确认，构成投标文件的组成部分。</w:t>
      </w:r>
    </w:p>
    <w:p>
      <w:pPr>
        <w:spacing w:line="400" w:lineRule="exact"/>
        <w:ind w:firstLine="359" w:firstLineChars="171"/>
        <w:rPr>
          <w:rFonts w:ascii="Times New Roman" w:hAnsi="Times New Roman"/>
        </w:rPr>
      </w:pPr>
      <w:r>
        <w:rPr>
          <w:rFonts w:ascii="Times New Roman" w:hAnsi="Times New Roman"/>
        </w:rPr>
        <w:t>3.1.2 投标人须知前附表规定不接受联合体投标的，或投标人没有组成联合体的，投标文件不包括本章第3.1.1（3）目所指的联合体协议书。</w:t>
      </w:r>
    </w:p>
    <w:p>
      <w:pPr>
        <w:spacing w:line="400" w:lineRule="exact"/>
        <w:ind w:firstLine="359" w:firstLineChars="171"/>
        <w:rPr>
          <w:rFonts w:ascii="Times New Roman" w:hAnsi="Times New Roman"/>
          <w:color w:val="000000"/>
        </w:rPr>
      </w:pPr>
      <w:r>
        <w:rPr>
          <w:rFonts w:ascii="Times New Roman" w:hAnsi="Times New Roman"/>
        </w:rPr>
        <w:t>3.1.3 投标人须知前附表未要求提交投标保证金的，投标文件不包括本章第3.1.1（4）目所指的投标保证金。</w:t>
      </w:r>
    </w:p>
    <w:p>
      <w:pPr>
        <w:pStyle w:val="4"/>
        <w:spacing w:line="240" w:lineRule="auto"/>
        <w:ind w:firstLine="137"/>
        <w:rPr>
          <w:rFonts w:ascii="Times New Roman" w:hAnsi="Times New Roman"/>
          <w:color w:val="000000"/>
        </w:rPr>
      </w:pPr>
      <w:bookmarkStart w:id="135" w:name="_Toc492300373"/>
      <w:r>
        <w:rPr>
          <w:rFonts w:ascii="Times New Roman" w:hAnsi="Times New Roman"/>
          <w:color w:val="000000"/>
        </w:rPr>
        <w:t xml:space="preserve">3.2 </w:t>
      </w:r>
      <w:r>
        <w:rPr>
          <w:rFonts w:hint="eastAsia" w:ascii="Times New Roman" w:hAnsi="Times New Roman"/>
          <w:color w:val="000000"/>
        </w:rPr>
        <w:t>投标报价</w:t>
      </w:r>
      <w:bookmarkEnd w:id="135"/>
    </w:p>
    <w:p>
      <w:pPr>
        <w:spacing w:line="400" w:lineRule="exact"/>
        <w:ind w:firstLine="420" w:firstLineChars="200"/>
        <w:rPr>
          <w:rFonts w:ascii="Times New Roman" w:hAnsi="Times New Roman"/>
        </w:rPr>
      </w:pPr>
      <w:r>
        <w:rPr>
          <w:rFonts w:ascii="Times New Roman" w:hAnsi="Times New Roman"/>
        </w:rPr>
        <w:t>3.2.1投标报价应包括国家规定的增值税税金，除投标人须知前附表另有规定外，增值税税金按一般计税方法计算。投标人应按第六章“投标文件格式”的要求在投标函中进行报价并填写设计费用清单。</w:t>
      </w:r>
    </w:p>
    <w:p>
      <w:pPr>
        <w:spacing w:line="400" w:lineRule="exact"/>
        <w:ind w:firstLine="420" w:firstLineChars="200"/>
        <w:rPr>
          <w:rFonts w:ascii="Times New Roman" w:hAnsi="Times New Roman"/>
        </w:rPr>
      </w:pPr>
      <w:r>
        <w:rPr>
          <w:rFonts w:ascii="Times New Roman" w:hAnsi="Times New Roman"/>
        </w:rPr>
        <w:t>3.2.2 投标人应充分了解该项目的总体情况以及影响投标报价的其他要素。</w:t>
      </w:r>
    </w:p>
    <w:p>
      <w:pPr>
        <w:spacing w:line="400" w:lineRule="exact"/>
        <w:ind w:firstLine="420" w:firstLineChars="200"/>
        <w:rPr>
          <w:rFonts w:ascii="Times New Roman" w:hAnsi="Times New Roman"/>
        </w:rPr>
      </w:pPr>
      <w:r>
        <w:rPr>
          <w:rFonts w:ascii="Times New Roman" w:hAnsi="Times New Roman"/>
        </w:rPr>
        <w:t>3.2.3</w:t>
      </w:r>
      <w:bookmarkStart w:id="136" w:name="_Toc152042319"/>
      <w:bookmarkEnd w:id="136"/>
      <w:bookmarkStart w:id="137" w:name="_Toc300834964"/>
      <w:bookmarkEnd w:id="137"/>
      <w:bookmarkStart w:id="138" w:name="_Toc384308224"/>
      <w:bookmarkEnd w:id="138"/>
      <w:bookmarkStart w:id="139" w:name="_Toc361508599"/>
      <w:bookmarkEnd w:id="139"/>
      <w:bookmarkStart w:id="140" w:name="_Toc152045543"/>
      <w:bookmarkEnd w:id="140"/>
      <w:bookmarkStart w:id="141" w:name="_Toc144974511"/>
      <w:bookmarkEnd w:id="141"/>
      <w:bookmarkStart w:id="142" w:name="_Toc247513967"/>
      <w:bookmarkEnd w:id="142"/>
      <w:bookmarkStart w:id="143" w:name="_Toc15242"/>
      <w:bookmarkEnd w:id="143"/>
      <w:bookmarkStart w:id="144" w:name="_Toc247527568"/>
      <w:bookmarkEnd w:id="144"/>
      <w:bookmarkStart w:id="145" w:name="_Toc369531530"/>
      <w:bookmarkEnd w:id="145"/>
      <w:bookmarkStart w:id="146" w:name="_Toc352691487"/>
      <w:bookmarkEnd w:id="146"/>
      <w:r>
        <w:rPr>
          <w:rFonts w:hint="eastAsia" w:ascii="Times New Roman" w:hAnsi="Times New Roman"/>
        </w:rPr>
        <w:t xml:space="preserve"> 本项目的报价方式见投标人须知前附表。</w:t>
      </w:r>
      <w:r>
        <w:rPr>
          <w:rFonts w:ascii="Times New Roman" w:hAnsi="Times New Roman"/>
        </w:rPr>
        <w:t>投标人在投标截止时间前修改投标函中的投标报价总额，应同时修改投标文件“</w:t>
      </w:r>
      <w:r>
        <w:rPr>
          <w:rFonts w:hint="eastAsia" w:ascii="Times New Roman" w:hAnsi="Times New Roman"/>
        </w:rPr>
        <w:t>设计费用清单</w:t>
      </w:r>
      <w:r>
        <w:rPr>
          <w:rFonts w:ascii="Times New Roman" w:hAnsi="Times New Roman"/>
        </w:rPr>
        <w:t>”中的相应报价。此修改须符合本章第4.3款的有关要求。</w:t>
      </w:r>
    </w:p>
    <w:p>
      <w:pPr>
        <w:spacing w:line="400" w:lineRule="exact"/>
        <w:ind w:firstLine="420" w:firstLineChars="200"/>
        <w:rPr>
          <w:rFonts w:ascii="Times New Roman" w:hAnsi="Times New Roman"/>
          <w:color w:val="000000"/>
        </w:rPr>
      </w:pPr>
      <w:r>
        <w:rPr>
          <w:rFonts w:ascii="Times New Roman" w:hAnsi="Times New Roman"/>
        </w:rPr>
        <w:t>3.2.4</w:t>
      </w:r>
      <w:r>
        <w:rPr>
          <w:rFonts w:hint="eastAsia" w:ascii="Times New Roman" w:hAnsi="Times New Roman"/>
          <w:color w:val="000000"/>
        </w:rPr>
        <w:t xml:space="preserve"> </w:t>
      </w:r>
      <w:r>
        <w:rPr>
          <w:rFonts w:ascii="Times New Roman" w:hAnsi="Times New Roman"/>
        </w:rPr>
        <w:t>招标人设有最高投标限价的，投标人的投标报价不得超过最高投标限价，最高投标限价在投标</w:t>
      </w:r>
      <w:bookmarkStart w:id="147" w:name="_Toc369531531"/>
      <w:bookmarkStart w:id="148" w:name="_Toc144974512"/>
      <w:bookmarkStart w:id="149" w:name="_Toc384308225"/>
      <w:bookmarkStart w:id="150" w:name="_Toc300834965"/>
      <w:bookmarkStart w:id="151" w:name="_Toc10429"/>
      <w:bookmarkStart w:id="152" w:name="_Toc247527569"/>
      <w:bookmarkStart w:id="153" w:name="_Toc247513968"/>
      <w:bookmarkStart w:id="154" w:name="_Toc152045544"/>
      <w:bookmarkStart w:id="155" w:name="_Toc352691488"/>
      <w:bookmarkStart w:id="156" w:name="_Toc361508600"/>
      <w:bookmarkStart w:id="157" w:name="_Toc152042320"/>
      <w:r>
        <w:rPr>
          <w:rFonts w:ascii="Times New Roman" w:hAnsi="Times New Roman"/>
        </w:rPr>
        <w:t>人须知前附表中载明。</w:t>
      </w:r>
      <w:bookmarkEnd w:id="147"/>
      <w:bookmarkEnd w:id="148"/>
      <w:bookmarkEnd w:id="149"/>
      <w:bookmarkEnd w:id="150"/>
      <w:bookmarkEnd w:id="151"/>
      <w:bookmarkEnd w:id="152"/>
      <w:bookmarkEnd w:id="153"/>
      <w:bookmarkEnd w:id="154"/>
      <w:bookmarkEnd w:id="155"/>
      <w:bookmarkEnd w:id="156"/>
      <w:bookmarkEnd w:id="157"/>
    </w:p>
    <w:p>
      <w:pPr>
        <w:spacing w:line="400" w:lineRule="exact"/>
        <w:ind w:firstLine="420" w:firstLineChars="200"/>
        <w:rPr>
          <w:rFonts w:ascii="Times New Roman" w:hAnsi="Times New Roman"/>
          <w:color w:val="000000"/>
        </w:rPr>
      </w:pPr>
      <w:r>
        <w:rPr>
          <w:rFonts w:ascii="Times New Roman" w:hAnsi="Times New Roman"/>
          <w:color w:val="000000"/>
        </w:rPr>
        <w:t>3.2.</w:t>
      </w:r>
      <w:r>
        <w:rPr>
          <w:rFonts w:hint="eastAsia" w:ascii="Times New Roman" w:hAnsi="Times New Roman"/>
          <w:color w:val="000000"/>
        </w:rPr>
        <w:t>5</w:t>
      </w:r>
      <w:r>
        <w:rPr>
          <w:rFonts w:ascii="Times New Roman" w:hAnsi="Times New Roman"/>
          <w:color w:val="000000"/>
        </w:rPr>
        <w:t xml:space="preserve"> 投标报价的其他要求见投标人须知前附表。</w:t>
      </w:r>
    </w:p>
    <w:p>
      <w:pPr>
        <w:pStyle w:val="4"/>
        <w:spacing w:line="240" w:lineRule="auto"/>
        <w:ind w:firstLine="137"/>
        <w:rPr>
          <w:rFonts w:ascii="Times New Roman" w:hAnsi="Times New Roman"/>
          <w:color w:val="000000"/>
        </w:rPr>
      </w:pPr>
      <w:bookmarkStart w:id="158" w:name="_Toc492300374"/>
      <w:r>
        <w:rPr>
          <w:rFonts w:ascii="Times New Roman" w:hAnsi="Times New Roman"/>
          <w:color w:val="000000"/>
        </w:rPr>
        <w:t xml:space="preserve">3.3 </w:t>
      </w:r>
      <w:r>
        <w:rPr>
          <w:rFonts w:hint="eastAsia" w:ascii="Times New Roman" w:hAnsi="Times New Roman"/>
          <w:color w:val="000000"/>
        </w:rPr>
        <w:t>投标有效期</w:t>
      </w:r>
      <w:bookmarkEnd w:id="158"/>
    </w:p>
    <w:p>
      <w:pPr>
        <w:spacing w:line="400" w:lineRule="exact"/>
        <w:ind w:firstLine="420" w:firstLineChars="200"/>
        <w:rPr>
          <w:rFonts w:ascii="Times New Roman" w:hAnsi="Times New Roman"/>
          <w:color w:val="000000"/>
        </w:rPr>
      </w:pPr>
      <w:r>
        <w:rPr>
          <w:rFonts w:ascii="Times New Roman" w:hAnsi="Times New Roman"/>
          <w:color w:val="000000"/>
        </w:rPr>
        <w:t>3.3.1 除</w:t>
      </w:r>
      <w:r>
        <w:rPr>
          <w:rFonts w:ascii="Times New Roman" w:hAnsi="Times New Roman"/>
        </w:rPr>
        <w:t>投标人须知前附表另有规定外，投标有效期为90天</w:t>
      </w:r>
      <w:r>
        <w:rPr>
          <w:rFonts w:ascii="Times New Roman" w:hAnsi="Times New Roman"/>
          <w:color w:val="000000"/>
        </w:rPr>
        <w:t>。</w:t>
      </w:r>
    </w:p>
    <w:p>
      <w:pPr>
        <w:spacing w:line="400" w:lineRule="exact"/>
        <w:ind w:firstLine="420" w:firstLineChars="200"/>
        <w:rPr>
          <w:rFonts w:ascii="Times New Roman" w:hAnsi="Times New Roman"/>
          <w:color w:val="000000"/>
        </w:rPr>
      </w:pPr>
      <w:r>
        <w:rPr>
          <w:rFonts w:ascii="Times New Roman" w:hAnsi="Times New Roman"/>
          <w:color w:val="000000"/>
        </w:rPr>
        <w:t>3.3.2 在投标有效期内，投标人撤销投标文件的，应承担招标文件和法律规定的责任。</w:t>
      </w:r>
    </w:p>
    <w:p>
      <w:pPr>
        <w:spacing w:line="400" w:lineRule="exact"/>
        <w:ind w:firstLine="420" w:firstLineChars="200"/>
        <w:rPr>
          <w:rFonts w:ascii="Times New Roman" w:hAnsi="Times New Roman"/>
        </w:rPr>
      </w:pPr>
      <w:r>
        <w:rPr>
          <w:rFonts w:ascii="Times New Roman" w:hAnsi="Times New Roman"/>
          <w:color w:val="000000"/>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w:t>
      </w:r>
      <w:r>
        <w:rPr>
          <w:rFonts w:ascii="Times New Roman" w:hAnsi="Times New Roman"/>
        </w:rPr>
        <w:t>人有权收回其投标保证金及以现金或者支票形式递交的投标保证金的银行同期存款利息。</w:t>
      </w:r>
    </w:p>
    <w:p>
      <w:pPr>
        <w:pStyle w:val="4"/>
        <w:spacing w:line="240" w:lineRule="auto"/>
        <w:ind w:firstLine="137"/>
        <w:rPr>
          <w:rFonts w:ascii="Times New Roman" w:hAnsi="Times New Roman"/>
          <w:color w:val="000000"/>
        </w:rPr>
      </w:pPr>
      <w:bookmarkStart w:id="159" w:name="_Toc492300375"/>
      <w:r>
        <w:rPr>
          <w:rFonts w:ascii="Times New Roman" w:hAnsi="Times New Roman"/>
          <w:color w:val="000000"/>
        </w:rPr>
        <w:t xml:space="preserve">3.4 </w:t>
      </w:r>
      <w:r>
        <w:rPr>
          <w:rFonts w:hint="eastAsia" w:ascii="Times New Roman" w:hAnsi="Times New Roman"/>
          <w:color w:val="000000"/>
        </w:rPr>
        <w:t>投标保证金</w:t>
      </w:r>
      <w:bookmarkEnd w:id="159"/>
    </w:p>
    <w:p>
      <w:pPr>
        <w:spacing w:line="400" w:lineRule="exact"/>
        <w:ind w:firstLine="420" w:firstLineChars="200"/>
        <w:rPr>
          <w:rFonts w:ascii="Times New Roman" w:hAnsi="Times New Roman"/>
          <w:color w:val="000000"/>
        </w:rPr>
      </w:pPr>
      <w:r>
        <w:rPr>
          <w:rFonts w:ascii="Times New Roman" w:hAnsi="Times New Roman"/>
          <w:color w:val="000000"/>
        </w:rPr>
        <w:t>3.4.1 投标人在递交投标文件的同时，应按投标人须知前附表规定的金额</w:t>
      </w:r>
      <w:bookmarkStart w:id="160" w:name="_Toc152045545"/>
      <w:bookmarkStart w:id="161" w:name="_Toc369531532"/>
      <w:bookmarkStart w:id="162" w:name="_Toc247513969"/>
      <w:bookmarkStart w:id="163" w:name="_Toc361508601"/>
      <w:bookmarkStart w:id="164" w:name="_Toc4592"/>
      <w:bookmarkStart w:id="165" w:name="_Toc247527570"/>
      <w:bookmarkStart w:id="166" w:name="_Toc144974513"/>
      <w:bookmarkStart w:id="167" w:name="_Toc352691489"/>
      <w:bookmarkStart w:id="168" w:name="_Toc152042321"/>
      <w:bookmarkStart w:id="169" w:name="_Toc300834966"/>
      <w:bookmarkStart w:id="170" w:name="_Toc384308226"/>
      <w:r>
        <w:rPr>
          <w:rFonts w:ascii="Times New Roman" w:hAnsi="Times New Roman"/>
          <w:color w:val="000000"/>
        </w:rPr>
        <w:t>、形式和第六章“投标文</w:t>
      </w:r>
      <w:bookmarkEnd w:id="160"/>
      <w:bookmarkEnd w:id="161"/>
      <w:bookmarkEnd w:id="162"/>
      <w:bookmarkEnd w:id="163"/>
      <w:bookmarkEnd w:id="164"/>
      <w:bookmarkEnd w:id="165"/>
      <w:bookmarkEnd w:id="166"/>
      <w:bookmarkEnd w:id="167"/>
      <w:bookmarkEnd w:id="168"/>
      <w:bookmarkEnd w:id="169"/>
      <w:bookmarkEnd w:id="170"/>
      <w:r>
        <w:rPr>
          <w:rFonts w:ascii="Times New Roman" w:hAnsi="Times New Roman"/>
          <w:color w:val="000000"/>
        </w:rPr>
        <w:t>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可以由牵头人递交，并应符合投标人须知前附表的规定。</w:t>
      </w:r>
    </w:p>
    <w:p>
      <w:pPr>
        <w:spacing w:line="400" w:lineRule="exact"/>
        <w:ind w:firstLine="420" w:firstLineChars="200"/>
        <w:jc w:val="left"/>
        <w:rPr>
          <w:rFonts w:ascii="Times New Roman" w:hAnsi="Times New Roman"/>
          <w:color w:val="000000"/>
        </w:rPr>
      </w:pPr>
      <w:r>
        <w:rPr>
          <w:rFonts w:ascii="Times New Roman" w:hAnsi="Times New Roman"/>
          <w:color w:val="000000"/>
        </w:rPr>
        <w:t>3.4.2 投标人不按本章第3.4.1项</w:t>
      </w:r>
      <w:bookmarkStart w:id="171" w:name="_Toc369531533"/>
      <w:bookmarkStart w:id="172" w:name="_Toc384308227"/>
      <w:bookmarkStart w:id="173" w:name="_Toc29025"/>
      <w:bookmarkStart w:id="174" w:name="_Toc361508602"/>
      <w:bookmarkStart w:id="175" w:name="_Toc352691490"/>
      <w:r>
        <w:rPr>
          <w:rFonts w:ascii="Times New Roman" w:hAnsi="Times New Roman"/>
          <w:color w:val="000000"/>
        </w:rPr>
        <w:t>要求提交投标保证金的，</w:t>
      </w:r>
      <w:bookmarkEnd w:id="171"/>
      <w:bookmarkEnd w:id="172"/>
      <w:bookmarkEnd w:id="173"/>
      <w:bookmarkEnd w:id="174"/>
      <w:bookmarkEnd w:id="175"/>
      <w:r>
        <w:rPr>
          <w:rFonts w:ascii="Times New Roman" w:hAnsi="Times New Roman"/>
          <w:color w:val="000000"/>
        </w:rPr>
        <w:t>评标委员会将否决其投标。</w:t>
      </w:r>
    </w:p>
    <w:p>
      <w:pPr>
        <w:spacing w:line="400" w:lineRule="exact"/>
        <w:ind w:firstLine="420" w:firstLineChars="200"/>
        <w:rPr>
          <w:rFonts w:ascii="Times New Roman" w:hAnsi="Times New Roman"/>
          <w:color w:val="000000"/>
        </w:rPr>
      </w:pPr>
      <w:r>
        <w:rPr>
          <w:rFonts w:ascii="Times New Roman" w:hAnsi="Times New Roman"/>
          <w:color w:val="000000"/>
        </w:rPr>
        <w:t>3.4.3 招标人最迟将在与中标人</w:t>
      </w:r>
      <w:bookmarkStart w:id="176" w:name="_Toc361508603"/>
      <w:bookmarkStart w:id="177" w:name="_Toc152045546"/>
      <w:bookmarkStart w:id="178" w:name="_Toc247513970"/>
      <w:bookmarkStart w:id="179" w:name="_Toc384308228"/>
      <w:bookmarkStart w:id="180" w:name="_Toc144974514"/>
      <w:bookmarkStart w:id="181" w:name="_Toc352691491"/>
      <w:bookmarkStart w:id="182" w:name="_Toc14751"/>
      <w:bookmarkStart w:id="183" w:name="_Toc300834967"/>
      <w:bookmarkStart w:id="184" w:name="_Toc369531534"/>
      <w:bookmarkStart w:id="185" w:name="_Toc247527571"/>
      <w:bookmarkStart w:id="186" w:name="_Toc152042322"/>
      <w:r>
        <w:rPr>
          <w:rFonts w:ascii="Times New Roman" w:hAnsi="Times New Roman"/>
          <w:color w:val="000000"/>
        </w:rPr>
        <w:t>签订合同后5日</w:t>
      </w:r>
      <w:bookmarkEnd w:id="176"/>
      <w:bookmarkEnd w:id="177"/>
      <w:bookmarkEnd w:id="178"/>
      <w:bookmarkEnd w:id="179"/>
      <w:bookmarkEnd w:id="180"/>
      <w:bookmarkEnd w:id="181"/>
      <w:bookmarkEnd w:id="182"/>
      <w:bookmarkEnd w:id="183"/>
      <w:bookmarkEnd w:id="184"/>
      <w:bookmarkEnd w:id="185"/>
      <w:bookmarkEnd w:id="186"/>
      <w:r>
        <w:rPr>
          <w:rFonts w:ascii="Times New Roman" w:hAnsi="Times New Roman"/>
          <w:color w:val="000000"/>
        </w:rPr>
        <w:t>内</w:t>
      </w:r>
      <w:bookmarkStart w:id="187" w:name="_Toc384308229"/>
      <w:bookmarkStart w:id="188" w:name="_Toc247513971"/>
      <w:bookmarkStart w:id="189" w:name="_Toc152045547"/>
      <w:bookmarkStart w:id="190" w:name="_Toc247527572"/>
      <w:bookmarkStart w:id="191" w:name="_Toc152042323"/>
      <w:bookmarkStart w:id="192" w:name="_Toc361508604"/>
      <w:bookmarkStart w:id="193" w:name="_Toc369531535"/>
      <w:bookmarkStart w:id="194" w:name="_Toc352691492"/>
      <w:bookmarkStart w:id="195" w:name="_Toc144974515"/>
      <w:bookmarkStart w:id="196" w:name="_Toc300834968"/>
      <w:bookmarkStart w:id="197" w:name="_Toc17952"/>
      <w:r>
        <w:rPr>
          <w:rFonts w:ascii="Times New Roman" w:hAnsi="Times New Roman"/>
          <w:color w:val="000000"/>
        </w:rPr>
        <w:t>，向未中标的投标人和中</w:t>
      </w:r>
      <w:bookmarkEnd w:id="187"/>
      <w:bookmarkEnd w:id="188"/>
      <w:bookmarkEnd w:id="189"/>
      <w:bookmarkEnd w:id="190"/>
      <w:bookmarkEnd w:id="191"/>
      <w:bookmarkEnd w:id="192"/>
      <w:bookmarkEnd w:id="193"/>
      <w:bookmarkEnd w:id="194"/>
      <w:bookmarkEnd w:id="195"/>
      <w:bookmarkEnd w:id="196"/>
      <w:bookmarkEnd w:id="197"/>
      <w:r>
        <w:rPr>
          <w:rFonts w:ascii="Times New Roman" w:hAnsi="Times New Roman"/>
          <w:color w:val="000000"/>
        </w:rPr>
        <w:t>标人退还投标保证金。投标保证金以现金或者支票形式递交的，还应退还银行同期存款利息。</w:t>
      </w:r>
    </w:p>
    <w:p>
      <w:pPr>
        <w:spacing w:line="400" w:lineRule="exact"/>
        <w:ind w:firstLine="420" w:firstLineChars="200"/>
        <w:rPr>
          <w:rFonts w:ascii="Times New Roman" w:hAnsi="Times New Roman"/>
          <w:color w:val="000000"/>
        </w:rPr>
      </w:pPr>
      <w:r>
        <w:rPr>
          <w:rFonts w:ascii="Times New Roman" w:hAnsi="Times New Roman"/>
          <w:color w:val="000000"/>
        </w:rPr>
        <w:t>3.4.4 有下列情形之一的，投标保证金将不予退还：</w:t>
      </w:r>
    </w:p>
    <w:p>
      <w:pPr>
        <w:spacing w:line="400" w:lineRule="exact"/>
        <w:ind w:firstLine="315" w:firstLineChars="150"/>
        <w:rPr>
          <w:rFonts w:ascii="Times New Roman" w:hAnsi="Times New Roman"/>
          <w:color w:val="000000"/>
        </w:rPr>
      </w:pPr>
      <w:r>
        <w:rPr>
          <w:rFonts w:ascii="Times New Roman" w:hAnsi="Times New Roman"/>
          <w:color w:val="000000"/>
        </w:rPr>
        <w:t>（1）投标人在投标有效期内撤销投标文件；</w:t>
      </w:r>
    </w:p>
    <w:p>
      <w:pPr>
        <w:spacing w:line="400" w:lineRule="exact"/>
        <w:ind w:firstLine="315" w:firstLineChars="150"/>
        <w:rPr>
          <w:rFonts w:ascii="Times New Roman" w:hAnsi="Times New Roman"/>
          <w:color w:val="000000"/>
        </w:rPr>
      </w:pPr>
      <w:r>
        <w:rPr>
          <w:rFonts w:ascii="Times New Roman" w:hAnsi="Times New Roman"/>
          <w:color w:val="000000"/>
        </w:rPr>
        <w:t>（2）中标人在收到中标通知书后，无正当理由不与招标人订立合同，在签订合同时向招标人提出附加条件，或者不按照招标文件要求提交履约保证金；</w:t>
      </w:r>
    </w:p>
    <w:p>
      <w:pPr>
        <w:spacing w:line="400" w:lineRule="exact"/>
        <w:ind w:firstLine="315" w:firstLineChars="150"/>
        <w:rPr>
          <w:rFonts w:ascii="Times New Roman" w:hAnsi="Times New Roman"/>
          <w:color w:val="000000"/>
        </w:rPr>
      </w:pPr>
      <w:r>
        <w:rPr>
          <w:rFonts w:ascii="Times New Roman" w:hAnsi="Times New Roman"/>
          <w:color w:val="000000"/>
        </w:rPr>
        <w:t>（3）发生投标人须知前附表</w:t>
      </w:r>
      <w:r>
        <w:rPr>
          <w:rFonts w:ascii="Times New Roman" w:hAnsi="Times New Roman"/>
          <w:szCs w:val="21"/>
        </w:rPr>
        <w:t>规定的其他可以不予退还投标保证金的情形。</w:t>
      </w:r>
    </w:p>
    <w:p>
      <w:pPr>
        <w:pStyle w:val="4"/>
        <w:spacing w:line="240" w:lineRule="auto"/>
        <w:ind w:firstLine="137"/>
        <w:rPr>
          <w:rFonts w:ascii="Times New Roman" w:hAnsi="Times New Roman"/>
          <w:color w:val="000000"/>
        </w:rPr>
      </w:pPr>
      <w:bookmarkStart w:id="198" w:name="_Toc492300376"/>
      <w:r>
        <w:rPr>
          <w:rFonts w:ascii="Times New Roman" w:hAnsi="Times New Roman"/>
          <w:color w:val="000000"/>
        </w:rPr>
        <w:t xml:space="preserve">3.5 </w:t>
      </w:r>
      <w:r>
        <w:rPr>
          <w:rFonts w:hint="eastAsia" w:ascii="Times New Roman" w:hAnsi="Times New Roman"/>
          <w:color w:val="000000"/>
        </w:rPr>
        <w:t>资格审查资料（适用于已进行资格预审的）</w:t>
      </w:r>
      <w:bookmarkEnd w:id="198"/>
    </w:p>
    <w:p>
      <w:pPr>
        <w:spacing w:line="400" w:lineRule="exact"/>
        <w:ind w:firstLine="420" w:firstLineChars="200"/>
        <w:jc w:val="left"/>
        <w:rPr>
          <w:rFonts w:ascii="Times New Roman" w:hAnsi="Times New Roman"/>
          <w:color w:val="000000"/>
        </w:rPr>
      </w:pPr>
      <w:r>
        <w:rPr>
          <w:rFonts w:ascii="Times New Roman" w:hAnsi="Times New Roman"/>
          <w:color w:val="000000"/>
        </w:rPr>
        <w:t>投标人在递交投标文件前，发生可能影响其投标资格的新情况的，应更新或补充其在申请资格预审时提供的资料，以证实其各项资格条件仍能继续满足资格预审文件的要求，且没有实质性降低。</w:t>
      </w:r>
    </w:p>
    <w:p>
      <w:pPr>
        <w:pStyle w:val="4"/>
        <w:spacing w:line="240" w:lineRule="auto"/>
        <w:ind w:firstLine="137"/>
        <w:rPr>
          <w:rFonts w:ascii="Times New Roman" w:hAnsi="Times New Roman"/>
          <w:color w:val="000000"/>
        </w:rPr>
      </w:pPr>
      <w:bookmarkStart w:id="199" w:name="_Toc492300377"/>
      <w:r>
        <w:rPr>
          <w:rFonts w:ascii="Times New Roman" w:hAnsi="Times New Roman"/>
          <w:color w:val="000000"/>
        </w:rPr>
        <w:t xml:space="preserve">3.5 </w:t>
      </w:r>
      <w:r>
        <w:rPr>
          <w:rFonts w:hint="eastAsia" w:ascii="Times New Roman" w:hAnsi="Times New Roman"/>
          <w:color w:val="000000"/>
        </w:rPr>
        <w:t>资格审查资料（适用于未进行资格预审的）</w:t>
      </w:r>
      <w:bookmarkEnd w:id="199"/>
    </w:p>
    <w:p>
      <w:pPr>
        <w:spacing w:line="400" w:lineRule="exact"/>
        <w:ind w:firstLine="420" w:firstLineChars="200"/>
        <w:rPr>
          <w:rFonts w:ascii="Times New Roman" w:hAnsi="Times New Roman"/>
        </w:rPr>
      </w:pPr>
      <w:r>
        <w:rPr>
          <w:rFonts w:ascii="Times New Roman" w:hAnsi="Times New Roman"/>
        </w:rPr>
        <w:t>除投标人须知前附表另有规定外，投标人应按下列规定提供资格审查资料，以证明其满足本章第1.4款规定的</w:t>
      </w:r>
      <w:r>
        <w:rPr>
          <w:rFonts w:ascii="Times New Roman" w:hAnsi="Times New Roman"/>
          <w:color w:val="000000"/>
        </w:rPr>
        <w:t>资质、财务、业绩、信誉等要求。</w:t>
      </w:r>
    </w:p>
    <w:p>
      <w:pPr>
        <w:spacing w:line="400" w:lineRule="exact"/>
        <w:ind w:firstLine="420" w:firstLineChars="200"/>
        <w:rPr>
          <w:rFonts w:ascii="Times New Roman" w:hAnsi="Times New Roman"/>
          <w:color w:val="000000"/>
        </w:rPr>
      </w:pPr>
      <w:r>
        <w:rPr>
          <w:rFonts w:ascii="Times New Roman" w:hAnsi="Times New Roman"/>
        </w:rPr>
        <w:t>3.5.1 “投标人基本情况表”应附投标人</w:t>
      </w:r>
      <w:r>
        <w:rPr>
          <w:rFonts w:ascii="Times New Roman" w:hAnsi="Times New Roman"/>
          <w:color w:val="000000"/>
        </w:rPr>
        <w:t>营业执照和组织机构代码证的复印件（按照“三证合一”或“五证合一”登记制度进行登记的，可仅提供营业执照复印件）、投标人设计资质证书副本等材料的复印件。</w:t>
      </w:r>
    </w:p>
    <w:p>
      <w:pPr>
        <w:spacing w:line="400" w:lineRule="exact"/>
        <w:ind w:firstLine="420" w:firstLineChars="200"/>
        <w:rPr>
          <w:rFonts w:ascii="Times New Roman" w:hAnsi="Times New Roman"/>
        </w:rPr>
      </w:pPr>
      <w:r>
        <w:rPr>
          <w:rFonts w:ascii="Times New Roman" w:hAnsi="Times New Roman"/>
        </w:rPr>
        <w:t>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spacing w:line="400" w:lineRule="exact"/>
        <w:ind w:firstLine="420" w:firstLineChars="200"/>
        <w:rPr>
          <w:rFonts w:ascii="Times New Roman" w:hAnsi="Times New Roman"/>
        </w:rPr>
      </w:pPr>
      <w:r>
        <w:rPr>
          <w:rFonts w:ascii="Times New Roman" w:hAnsi="Times New Roman"/>
        </w:rPr>
        <w:t>3.5.3 “近年完成的类似设计项目情况表”应附中标通知书和（或）合同协议书、发包人出具的证明文件；具体</w:t>
      </w:r>
      <w:r>
        <w:rPr>
          <w:rFonts w:hint="eastAsia" w:ascii="Times New Roman" w:hAnsi="Times New Roman"/>
        </w:rPr>
        <w:t>时间</w:t>
      </w:r>
      <w:r>
        <w:rPr>
          <w:rFonts w:ascii="Times New Roman" w:hAnsi="Times New Roman"/>
        </w:rPr>
        <w:t>要求见投标人须知前附表，每张表格只填写一个项目，并标明序号。</w:t>
      </w:r>
    </w:p>
    <w:p>
      <w:pPr>
        <w:spacing w:line="400" w:lineRule="exact"/>
        <w:ind w:firstLine="420" w:firstLineChars="200"/>
        <w:rPr>
          <w:rFonts w:ascii="Times New Roman" w:hAnsi="Times New Roman"/>
        </w:rPr>
      </w:pPr>
      <w:r>
        <w:rPr>
          <w:rFonts w:ascii="Times New Roman" w:hAnsi="Times New Roman"/>
        </w:rPr>
        <w:t>3.5.4 “正在</w:t>
      </w:r>
      <w:r>
        <w:rPr>
          <w:rFonts w:hint="eastAsia" w:ascii="Times New Roman" w:hAnsi="Times New Roman"/>
        </w:rPr>
        <w:t>设计</w:t>
      </w:r>
      <w:r>
        <w:rPr>
          <w:rFonts w:ascii="Times New Roman" w:hAnsi="Times New Roman"/>
        </w:rPr>
        <w:t>和新承接的项目情况表”应附中标通知书和（或）合同协议书复印件。每张表格只填写一个项目，并标明序号。</w:t>
      </w:r>
    </w:p>
    <w:p>
      <w:pPr>
        <w:spacing w:line="400" w:lineRule="exact"/>
        <w:ind w:firstLine="420" w:firstLineChars="200"/>
        <w:rPr>
          <w:rFonts w:ascii="Times New Roman" w:hAnsi="Times New Roman"/>
        </w:rPr>
      </w:pPr>
      <w:r>
        <w:rPr>
          <w:rFonts w:ascii="Times New Roman" w:hAnsi="Times New Roman"/>
        </w:rPr>
        <w:t>3.5.5 “近年发生的诉讼及仲裁情况”应说明投标人败诉的设计合同的相关情况，并附法院或仲裁机构作出的判决、裁决等有关法律文书复印件，具体</w:t>
      </w:r>
      <w:r>
        <w:rPr>
          <w:rFonts w:hint="eastAsia" w:ascii="Times New Roman" w:hAnsi="Times New Roman"/>
        </w:rPr>
        <w:t>时间</w:t>
      </w:r>
      <w:r>
        <w:rPr>
          <w:rFonts w:ascii="Times New Roman" w:hAnsi="Times New Roman"/>
        </w:rPr>
        <w:t>要求见投标人须知前附表。</w:t>
      </w:r>
    </w:p>
    <w:p>
      <w:pPr>
        <w:spacing w:line="400" w:lineRule="exact"/>
        <w:ind w:firstLine="420" w:firstLineChars="200"/>
        <w:rPr>
          <w:rFonts w:ascii="Times New Roman" w:hAnsi="Times New Roman"/>
        </w:rPr>
      </w:pPr>
      <w:r>
        <w:rPr>
          <w:rFonts w:ascii="Times New Roman" w:hAnsi="Times New Roman"/>
        </w:rPr>
        <w:t>3.5.6 “</w:t>
      </w:r>
      <w:r>
        <w:rPr>
          <w:rFonts w:hint="eastAsia" w:ascii="Times New Roman" w:hAnsi="Times New Roman"/>
        </w:rPr>
        <w:t>拟委任的主要人员汇总表</w:t>
      </w:r>
      <w:r>
        <w:rPr>
          <w:rFonts w:ascii="Times New Roman" w:hAnsi="Times New Roman"/>
        </w:rPr>
        <w:t>”</w:t>
      </w:r>
      <w:r>
        <w:rPr>
          <w:rFonts w:hint="eastAsia" w:ascii="Times New Roman" w:hAnsi="Times New Roman"/>
        </w:rPr>
        <w:t>应填报满足本章第</w:t>
      </w:r>
      <w:r>
        <w:rPr>
          <w:rFonts w:ascii="Times New Roman" w:hAnsi="Times New Roman"/>
        </w:rPr>
        <w:t>1.4.1</w:t>
      </w:r>
      <w:r>
        <w:rPr>
          <w:rFonts w:hint="eastAsia" w:ascii="Times New Roman" w:hAnsi="Times New Roman"/>
        </w:rPr>
        <w:t>项规定的项目负责人和其他主要人员的相关信息。</w:t>
      </w:r>
      <w:r>
        <w:rPr>
          <w:rFonts w:ascii="Times New Roman" w:hAnsi="Times New Roman"/>
        </w:rPr>
        <w:t>“</w:t>
      </w:r>
      <w:r>
        <w:rPr>
          <w:rFonts w:hint="eastAsia" w:ascii="Times New Roman" w:hAnsi="Times New Roman"/>
        </w:rPr>
        <w:t>主要人员简历表</w:t>
      </w:r>
      <w:r>
        <w:rPr>
          <w:rFonts w:ascii="Times New Roman" w:hAnsi="Times New Roman"/>
        </w:rPr>
        <w:t>”</w:t>
      </w:r>
      <w:r>
        <w:rPr>
          <w:rFonts w:hint="eastAsia" w:ascii="Times New Roman" w:hAnsi="Times New Roman"/>
        </w:rPr>
        <w:t>中项目负责人应附身份证、学历证、职称证、执业资格证书和社保缴费证明复印件，管理过的项目业绩须附合同协议书复印件；其他主要人员应附身份证、学历证、职称证、有关证书和社保缴费证明复印件。</w:t>
      </w:r>
    </w:p>
    <w:p>
      <w:pPr>
        <w:spacing w:line="400" w:lineRule="exact"/>
        <w:ind w:firstLine="420" w:firstLineChars="200"/>
        <w:rPr>
          <w:rFonts w:ascii="Times New Roman" w:hAnsi="Times New Roman"/>
        </w:rPr>
      </w:pPr>
      <w:r>
        <w:rPr>
          <w:rFonts w:ascii="Times New Roman" w:hAnsi="Times New Roman"/>
        </w:rPr>
        <w:t>3.5.</w:t>
      </w:r>
      <w:r>
        <w:rPr>
          <w:rFonts w:hint="eastAsia" w:ascii="Times New Roman" w:hAnsi="Times New Roman"/>
        </w:rPr>
        <w:t>7</w:t>
      </w:r>
      <w:r>
        <w:rPr>
          <w:rFonts w:ascii="Times New Roman" w:hAnsi="Times New Roman"/>
        </w:rPr>
        <w:t xml:space="preserve"> </w:t>
      </w:r>
      <w:r>
        <w:rPr>
          <w:rFonts w:hint="eastAsia" w:ascii="Times New Roman" w:hAnsi="Times New Roman"/>
        </w:rPr>
        <w:t>投标人须知前附表规定接受联合体投标的，本章第</w:t>
      </w:r>
      <w:r>
        <w:rPr>
          <w:rFonts w:ascii="Times New Roman" w:hAnsi="Times New Roman"/>
        </w:rPr>
        <w:t>3.5.1</w:t>
      </w:r>
      <w:r>
        <w:rPr>
          <w:rFonts w:hint="eastAsia" w:ascii="Times New Roman" w:hAnsi="Times New Roman"/>
        </w:rPr>
        <w:t>项至第</w:t>
      </w:r>
      <w:r>
        <w:rPr>
          <w:rFonts w:ascii="Times New Roman" w:hAnsi="Times New Roman"/>
        </w:rPr>
        <w:t>3.5.</w:t>
      </w:r>
      <w:r>
        <w:rPr>
          <w:rFonts w:hint="eastAsia" w:ascii="Times New Roman" w:hAnsi="Times New Roman"/>
        </w:rPr>
        <w:t>6项规定的表格和资料应包括联合体各方相关情况。</w:t>
      </w:r>
    </w:p>
    <w:p>
      <w:pPr>
        <w:pStyle w:val="4"/>
        <w:spacing w:line="240" w:lineRule="auto"/>
        <w:ind w:firstLine="137"/>
        <w:rPr>
          <w:rFonts w:ascii="Times New Roman" w:hAnsi="Times New Roman"/>
          <w:color w:val="000000"/>
        </w:rPr>
      </w:pPr>
      <w:bookmarkStart w:id="200" w:name="_Toc492300378"/>
      <w:r>
        <w:rPr>
          <w:rFonts w:ascii="Times New Roman" w:hAnsi="Times New Roman"/>
          <w:color w:val="000000"/>
        </w:rPr>
        <w:t xml:space="preserve">3.6 </w:t>
      </w:r>
      <w:r>
        <w:rPr>
          <w:rFonts w:hint="eastAsia" w:ascii="Times New Roman" w:hAnsi="Times New Roman"/>
          <w:color w:val="000000"/>
        </w:rPr>
        <w:t>备选投标方案</w:t>
      </w:r>
      <w:bookmarkEnd w:id="200"/>
    </w:p>
    <w:p>
      <w:pPr>
        <w:spacing w:line="400" w:lineRule="exact"/>
        <w:ind w:firstLine="420" w:firstLineChars="200"/>
        <w:rPr>
          <w:rFonts w:ascii="Times New Roman" w:hAnsi="Times New Roman"/>
          <w:color w:val="000000"/>
        </w:rPr>
      </w:pPr>
      <w:r>
        <w:rPr>
          <w:rFonts w:ascii="Times New Roman" w:hAnsi="Times New Roman"/>
          <w:color w:val="000000"/>
        </w:rPr>
        <w:t>3.6.1 除投标人须知前附表规定允许外，投标人不得递交备选投标方案，否则其投标将被否决。</w:t>
      </w:r>
    </w:p>
    <w:p>
      <w:pPr>
        <w:spacing w:line="400" w:lineRule="exact"/>
        <w:ind w:firstLine="420" w:firstLineChars="200"/>
        <w:rPr>
          <w:rFonts w:ascii="Times New Roman" w:hAnsi="Times New Roman"/>
          <w:color w:val="000000"/>
        </w:rPr>
      </w:pPr>
      <w:r>
        <w:rPr>
          <w:rFonts w:ascii="Times New Roman" w:hAnsi="Times New Roman"/>
          <w:color w:val="000000"/>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pPr>
        <w:spacing w:line="400" w:lineRule="exact"/>
        <w:ind w:firstLine="420" w:firstLineChars="200"/>
        <w:rPr>
          <w:rFonts w:ascii="Times New Roman" w:hAnsi="Times New Roman"/>
          <w:color w:val="000000"/>
        </w:rPr>
      </w:pPr>
      <w:r>
        <w:rPr>
          <w:rFonts w:ascii="Times New Roman" w:hAnsi="Times New Roman"/>
          <w:color w:val="000000"/>
        </w:rPr>
        <w:t>3.6.3 投标人提供两个或两个以上投标报价，或者在投标文件中提供一个报价，但同时提供两个或两个以上</w:t>
      </w:r>
      <w:bookmarkStart w:id="201" w:name="_Toc152042326"/>
      <w:bookmarkStart w:id="202" w:name="_Toc352691495"/>
      <w:bookmarkStart w:id="203" w:name="_Toc29902"/>
      <w:bookmarkStart w:id="204" w:name="_Toc369531538"/>
      <w:bookmarkStart w:id="205" w:name="_Toc144974518"/>
      <w:bookmarkStart w:id="206" w:name="_Toc247527575"/>
      <w:bookmarkStart w:id="207" w:name="_Toc247513974"/>
      <w:bookmarkStart w:id="208" w:name="_Toc384308232"/>
      <w:bookmarkStart w:id="209" w:name="_Toc361508607"/>
      <w:bookmarkStart w:id="210" w:name="_Toc152045550"/>
      <w:bookmarkStart w:id="211" w:name="_Toc300834971"/>
      <w:r>
        <w:rPr>
          <w:rFonts w:hint="eastAsia" w:ascii="Times New Roman" w:hAnsi="Times New Roman"/>
        </w:rPr>
        <w:t>设计方案</w:t>
      </w:r>
      <w:r>
        <w:rPr>
          <w:rFonts w:ascii="Times New Roman" w:hAnsi="Times New Roman"/>
        </w:rPr>
        <w:t>的</w:t>
      </w:r>
      <w:bookmarkEnd w:id="201"/>
      <w:bookmarkEnd w:id="202"/>
      <w:bookmarkEnd w:id="203"/>
      <w:bookmarkEnd w:id="204"/>
      <w:bookmarkEnd w:id="205"/>
      <w:bookmarkEnd w:id="206"/>
      <w:bookmarkEnd w:id="207"/>
      <w:bookmarkEnd w:id="208"/>
      <w:bookmarkEnd w:id="209"/>
      <w:bookmarkEnd w:id="210"/>
      <w:bookmarkEnd w:id="211"/>
      <w:r>
        <w:rPr>
          <w:rFonts w:ascii="Times New Roman" w:hAnsi="Times New Roman"/>
        </w:rPr>
        <w:t>，</w:t>
      </w:r>
      <w:r>
        <w:rPr>
          <w:rFonts w:ascii="Times New Roman" w:hAnsi="Times New Roman"/>
          <w:color w:val="000000"/>
        </w:rPr>
        <w:t>视为提供备选方案。</w:t>
      </w:r>
    </w:p>
    <w:p>
      <w:pPr>
        <w:pStyle w:val="4"/>
        <w:spacing w:line="240" w:lineRule="auto"/>
        <w:ind w:firstLine="137"/>
        <w:rPr>
          <w:rFonts w:ascii="Times New Roman" w:hAnsi="Times New Roman"/>
          <w:color w:val="000000"/>
        </w:rPr>
      </w:pPr>
      <w:bookmarkStart w:id="212" w:name="_Toc492300379"/>
      <w:r>
        <w:rPr>
          <w:rFonts w:ascii="Times New Roman" w:hAnsi="Times New Roman"/>
          <w:color w:val="000000"/>
        </w:rPr>
        <w:t xml:space="preserve">3.7 </w:t>
      </w:r>
      <w:r>
        <w:rPr>
          <w:rFonts w:hint="eastAsia" w:ascii="Times New Roman" w:hAnsi="Times New Roman"/>
          <w:color w:val="000000"/>
        </w:rPr>
        <w:t>投标文件的编制</w:t>
      </w:r>
      <w:bookmarkEnd w:id="212"/>
    </w:p>
    <w:p>
      <w:pPr>
        <w:spacing w:line="400" w:lineRule="exact"/>
        <w:ind w:firstLine="420" w:firstLineChars="200"/>
        <w:rPr>
          <w:rFonts w:ascii="Times New Roman" w:hAnsi="Times New Roman"/>
          <w:color w:val="000000"/>
        </w:rPr>
      </w:pPr>
      <w:r>
        <w:rPr>
          <w:rFonts w:ascii="Times New Roman" w:hAnsi="Times New Roman"/>
          <w:color w:val="000000"/>
        </w:rPr>
        <w:t>3.7.1 投标文件应按第六章“投标文件格式”进行编写，如有必要，可以增加附页，作为投标文件的组成部分。</w:t>
      </w:r>
      <w:r>
        <w:rPr>
          <w:rFonts w:ascii="Times New Roman" w:hAnsi="Times New Roman"/>
        </w:rPr>
        <w:t>其中，投标函附录在满足招标文件实质性要求的基础上，可以提出比招标文件要求更有利于招标人的承诺。</w:t>
      </w:r>
    </w:p>
    <w:p>
      <w:pPr>
        <w:spacing w:line="400" w:lineRule="exact"/>
        <w:ind w:firstLine="420" w:firstLineChars="200"/>
        <w:rPr>
          <w:rFonts w:ascii="Times New Roman" w:hAnsi="Times New Roman"/>
          <w:color w:val="000000"/>
        </w:rPr>
      </w:pPr>
      <w:r>
        <w:rPr>
          <w:rFonts w:ascii="Times New Roman" w:hAnsi="Times New Roman"/>
          <w:color w:val="000000"/>
        </w:rPr>
        <w:t>3.7.2 投标文件应当对招标文件有关设计服务期限、投标有效期、发包人要求、招标范围等实质性内容作出响应。</w:t>
      </w:r>
    </w:p>
    <w:p>
      <w:pPr>
        <w:spacing w:line="400" w:lineRule="exact"/>
        <w:ind w:firstLine="420" w:firstLineChars="200"/>
        <w:rPr>
          <w:rFonts w:ascii="Times New Roman" w:hAnsi="Times New Roman"/>
          <w:color w:val="000000"/>
        </w:rPr>
      </w:pPr>
      <w:r>
        <w:rPr>
          <w:rFonts w:ascii="Times New Roman" w:hAnsi="Times New Roman"/>
          <w:color w:val="000000"/>
        </w:rPr>
        <w:t>3.7.3（A）（1）投标文件应用不褪色的材料书写或打印，投标函</w:t>
      </w:r>
      <w:r>
        <w:rPr>
          <w:rFonts w:hint="eastAsia" w:ascii="Times New Roman" w:hAnsi="Times New Roman"/>
          <w:color w:val="000000"/>
        </w:rPr>
        <w:t>、投标函附录</w:t>
      </w:r>
      <w:r>
        <w:rPr>
          <w:rFonts w:ascii="Times New Roman" w:hAnsi="Times New Roman"/>
          <w:color w:val="000000"/>
        </w:rPr>
        <w:t>及对投标文件的澄清、说明和补正应由投标人的法定代表人或其授权的代理人签字</w:t>
      </w:r>
      <w:r>
        <w:rPr>
          <w:rFonts w:ascii="Times New Roman" w:hAnsi="Times New Roman"/>
        </w:rPr>
        <w:t>或盖单位章。</w:t>
      </w:r>
      <w:r>
        <w:rPr>
          <w:rFonts w:ascii="Times New Roman" w:hAnsi="Times New Roman"/>
          <w:color w:val="000000"/>
        </w:rPr>
        <w:t>由投标人的法定代表人签字的，应附法定代表人身份证明，由代理人签字的，应附授权委托书，身份证明或授权委托书应符合第六章“投标文件格式”的要求。投标文件应尽量避免涂改、行间插字或删除。如果出现上述情况，改动之处应由投标人的</w:t>
      </w:r>
      <w:r>
        <w:rPr>
          <w:rFonts w:hint="eastAsia" w:ascii="Times New Roman" w:hAnsi="Times New Roman"/>
          <w:color w:val="000000"/>
        </w:rPr>
        <w:t>法定代表人</w:t>
      </w:r>
      <w:r>
        <w:rPr>
          <w:rFonts w:ascii="Times New Roman" w:hAnsi="Times New Roman"/>
          <w:color w:val="000000"/>
        </w:rPr>
        <w:t>或其授权的代理人签字或盖单位章。</w:t>
      </w:r>
    </w:p>
    <w:p>
      <w:pPr>
        <w:spacing w:line="400" w:lineRule="exact"/>
        <w:ind w:firstLine="420" w:firstLineChars="200"/>
        <w:rPr>
          <w:rFonts w:ascii="Times New Roman" w:hAnsi="Times New Roman"/>
          <w:color w:val="000000"/>
        </w:rPr>
      </w:pPr>
      <w:r>
        <w:rPr>
          <w:rFonts w:ascii="Times New Roman" w:hAnsi="Times New Roman"/>
          <w:color w:val="000000"/>
        </w:rPr>
        <w:t>（2）投标文件正本一份，副本份数见投标人须知前附表。正本和副本的封面</w:t>
      </w:r>
      <w:r>
        <w:rPr>
          <w:rStyle w:val="41"/>
          <w:rFonts w:ascii="Times New Roman" w:hAnsi="Times New Roman"/>
          <w:color w:val="000000"/>
          <w:kern w:val="0"/>
        </w:rPr>
        <w:t>右上角</w:t>
      </w:r>
      <w:r>
        <w:rPr>
          <w:rFonts w:ascii="Times New Roman" w:hAnsi="Times New Roman"/>
          <w:color w:val="000000"/>
        </w:rPr>
        <w:t>上应清楚地标记“正本”或“副本”的字样。投标人应根据投标人须知前附表要求提供电子版文件。当副本和正本不一致或电子版文件和纸质正本文件不一致时，以纸质正本文件为准。</w:t>
      </w:r>
    </w:p>
    <w:p>
      <w:pPr>
        <w:spacing w:line="400" w:lineRule="exact"/>
        <w:ind w:firstLine="420" w:firstLineChars="200"/>
        <w:rPr>
          <w:rFonts w:ascii="Times New Roman" w:hAnsi="Times New Roman"/>
          <w:color w:val="000000"/>
        </w:rPr>
      </w:pPr>
      <w:r>
        <w:rPr>
          <w:rFonts w:ascii="Times New Roman" w:hAnsi="Times New Roman"/>
          <w:color w:val="000000"/>
        </w:rPr>
        <w:t>（3）投标文件的正本与副本应分别装订，并编制目录，投标文件需分册装订的，具体分册装订要求见投标人须知前附表规定。</w:t>
      </w:r>
    </w:p>
    <w:p>
      <w:pPr>
        <w:spacing w:line="400" w:lineRule="exact"/>
        <w:ind w:firstLine="420" w:firstLineChars="200"/>
        <w:rPr>
          <w:rFonts w:ascii="Times New Roman" w:hAnsi="Times New Roman"/>
          <w:color w:val="000000"/>
        </w:rPr>
      </w:pPr>
      <w:r>
        <w:rPr>
          <w:rFonts w:ascii="Times New Roman" w:hAnsi="Times New Roman"/>
          <w:color w:val="000000"/>
        </w:rPr>
        <w:t>3.7.3（B）投标文件全部采用电子文档，除投标人须知前附表另有规定外，投标文件所附证书证件均为原件扫描件，并</w:t>
      </w:r>
      <w:r>
        <w:rPr>
          <w:rFonts w:ascii="Times New Roman" w:hAnsi="Times New Roman"/>
          <w:szCs w:val="21"/>
        </w:rPr>
        <w:t>采用单位和个人数字证书，按招标文件要求在相应位置加盖电子印章</w:t>
      </w:r>
      <w:r>
        <w:rPr>
          <w:rFonts w:ascii="Times New Roman" w:hAnsi="Times New Roman"/>
          <w:color w:val="000000"/>
        </w:rPr>
        <w:t>。由投标人的法定代表人签字或加盖电子印章的，应附法定代表人身份证明，由代理人签字或加盖电子印章的，应附由法定代表人签署的授权委托书。签字或盖章的具体要求见投标人须知前附表。</w:t>
      </w:r>
    </w:p>
    <w:p>
      <w:pPr>
        <w:pStyle w:val="3"/>
        <w:rPr>
          <w:rFonts w:ascii="Times New Roman" w:hAnsi="Times New Roman"/>
          <w:color w:val="000000"/>
        </w:rPr>
      </w:pPr>
      <w:bookmarkStart w:id="213" w:name="_Toc492300380"/>
      <w:r>
        <w:rPr>
          <w:rFonts w:ascii="Times New Roman" w:hAnsi="Times New Roman"/>
          <w:color w:val="000000"/>
        </w:rPr>
        <w:t xml:space="preserve">4. </w:t>
      </w:r>
      <w:r>
        <w:rPr>
          <w:rFonts w:hint="eastAsia" w:ascii="Times New Roman" w:hAnsi="Times New Roman"/>
          <w:color w:val="000000"/>
        </w:rPr>
        <w:t>投标</w:t>
      </w:r>
      <w:bookmarkEnd w:id="213"/>
    </w:p>
    <w:p>
      <w:pPr>
        <w:pStyle w:val="4"/>
        <w:spacing w:line="240" w:lineRule="auto"/>
        <w:ind w:firstLine="137"/>
        <w:rPr>
          <w:rFonts w:ascii="Times New Roman" w:hAnsi="Times New Roman"/>
          <w:color w:val="000000"/>
        </w:rPr>
      </w:pPr>
      <w:bookmarkStart w:id="214" w:name="_Toc492300381"/>
      <w:r>
        <w:rPr>
          <w:rFonts w:ascii="Times New Roman" w:hAnsi="Times New Roman"/>
          <w:color w:val="000000"/>
        </w:rPr>
        <w:t xml:space="preserve">4.1 </w:t>
      </w:r>
      <w:r>
        <w:rPr>
          <w:rFonts w:hint="eastAsia" w:ascii="Times New Roman" w:hAnsi="Times New Roman"/>
          <w:color w:val="000000"/>
        </w:rPr>
        <w:t>投标文件的密封和标记</w:t>
      </w:r>
      <w:bookmarkEnd w:id="214"/>
    </w:p>
    <w:p>
      <w:pPr>
        <w:spacing w:line="400" w:lineRule="exact"/>
        <w:ind w:firstLine="420" w:firstLineChars="200"/>
        <w:rPr>
          <w:rFonts w:ascii="Times New Roman" w:hAnsi="Times New Roman"/>
          <w:color w:val="000000"/>
        </w:rPr>
      </w:pPr>
      <w:r>
        <w:rPr>
          <w:rFonts w:ascii="Times New Roman" w:hAnsi="Times New Roman"/>
          <w:color w:val="000000"/>
        </w:rPr>
        <w:t>4.1.1 （A）投标文件应密封包装，并在封套的封口处加盖投标人单位章或由投标人的法定代表人或其授权的代理人签字。</w:t>
      </w:r>
    </w:p>
    <w:p>
      <w:pPr>
        <w:spacing w:line="400" w:lineRule="exact"/>
        <w:ind w:firstLine="420" w:firstLineChars="200"/>
        <w:rPr>
          <w:rFonts w:ascii="Times New Roman" w:hAnsi="Times New Roman"/>
          <w:color w:val="000000"/>
        </w:rPr>
      </w:pPr>
      <w:r>
        <w:rPr>
          <w:rFonts w:ascii="Times New Roman" w:hAnsi="Times New Roman"/>
          <w:color w:val="000000"/>
        </w:rPr>
        <w:t>4.1.1 （B）投标人应当按照招标文件和电子招标投标交易平台的要求加密投标文件，具体要求见投标人须知前附表。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4.1.2 投标文件封套上应写明的内容见投标人须知前附表。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4.1.3 未按本章第4.1.1项要求密封的投标文件，招标人将予以拒收。</w:t>
      </w:r>
    </w:p>
    <w:p>
      <w:pPr>
        <w:pStyle w:val="4"/>
        <w:spacing w:line="240" w:lineRule="auto"/>
        <w:ind w:firstLine="137"/>
        <w:rPr>
          <w:rFonts w:ascii="Times New Roman" w:hAnsi="Times New Roman"/>
          <w:color w:val="000000"/>
        </w:rPr>
      </w:pPr>
      <w:bookmarkStart w:id="215" w:name="_Toc492300382"/>
      <w:r>
        <w:rPr>
          <w:rFonts w:ascii="Times New Roman" w:hAnsi="Times New Roman"/>
          <w:color w:val="000000"/>
        </w:rPr>
        <w:t xml:space="preserve">4.2 </w:t>
      </w:r>
      <w:r>
        <w:rPr>
          <w:rFonts w:hint="eastAsia" w:ascii="Times New Roman" w:hAnsi="Times New Roman"/>
          <w:color w:val="000000"/>
        </w:rPr>
        <w:t>投标文件的递交</w:t>
      </w:r>
      <w:bookmarkEnd w:id="215"/>
    </w:p>
    <w:p>
      <w:pPr>
        <w:spacing w:line="400" w:lineRule="exact"/>
        <w:ind w:firstLine="420" w:firstLineChars="200"/>
        <w:rPr>
          <w:rFonts w:ascii="Times New Roman" w:hAnsi="Times New Roman"/>
          <w:color w:val="000000"/>
        </w:rPr>
      </w:pPr>
      <w:r>
        <w:rPr>
          <w:rFonts w:ascii="Times New Roman" w:hAnsi="Times New Roman"/>
          <w:color w:val="000000"/>
        </w:rPr>
        <w:t>4.2.1 投标人应在投标人须知前附表规定的投标截止时间前递交投标文件。</w:t>
      </w:r>
    </w:p>
    <w:p>
      <w:pPr>
        <w:spacing w:line="400" w:lineRule="exact"/>
        <w:ind w:firstLine="420" w:firstLineChars="200"/>
        <w:rPr>
          <w:rFonts w:ascii="Times New Roman" w:hAnsi="Times New Roman"/>
          <w:color w:val="000000"/>
        </w:rPr>
      </w:pPr>
      <w:r>
        <w:rPr>
          <w:rFonts w:ascii="Times New Roman" w:hAnsi="Times New Roman"/>
          <w:color w:val="000000"/>
        </w:rPr>
        <w:t>4.2.2 （A）投标人递交投标文件的地点：见投标人须知前附表。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4.2.2 （B）</w:t>
      </w:r>
      <w:r>
        <w:rPr>
          <w:rFonts w:ascii="Times New Roman" w:hAnsi="Times New Roman"/>
          <w:bCs/>
          <w:iCs/>
          <w:color w:val="000000"/>
        </w:rPr>
        <w:t>投标人通过下载招标文件的电子招标投标交易平台递交电子投标文件。</w:t>
      </w:r>
    </w:p>
    <w:p>
      <w:pPr>
        <w:spacing w:line="400" w:lineRule="exact"/>
        <w:ind w:firstLine="420" w:firstLineChars="200"/>
        <w:rPr>
          <w:rFonts w:ascii="Times New Roman" w:hAnsi="Times New Roman"/>
          <w:color w:val="000000"/>
        </w:rPr>
      </w:pPr>
      <w:r>
        <w:rPr>
          <w:rFonts w:ascii="Times New Roman" w:hAnsi="Times New Roman"/>
          <w:color w:val="000000"/>
        </w:rPr>
        <w:t>4.2.3 除投标人须知前附表另有规定外，投标人所递交的投标文件不予退还。</w:t>
      </w:r>
    </w:p>
    <w:p>
      <w:pPr>
        <w:spacing w:line="400" w:lineRule="exact"/>
        <w:ind w:firstLine="420" w:firstLineChars="200"/>
        <w:rPr>
          <w:rFonts w:ascii="Times New Roman" w:hAnsi="Times New Roman"/>
          <w:color w:val="000000"/>
        </w:rPr>
      </w:pPr>
      <w:r>
        <w:rPr>
          <w:rFonts w:ascii="Times New Roman" w:hAnsi="Times New Roman"/>
          <w:color w:val="000000"/>
        </w:rPr>
        <w:t>4.2.4 （A）招标人收到投标文件后，向投标人出具签收凭证。</w:t>
      </w:r>
    </w:p>
    <w:p>
      <w:pPr>
        <w:spacing w:line="400" w:lineRule="exact"/>
        <w:ind w:firstLine="420" w:firstLineChars="200"/>
        <w:rPr>
          <w:rFonts w:ascii="Times New Roman" w:hAnsi="Times New Roman"/>
        </w:rPr>
      </w:pPr>
      <w:r>
        <w:rPr>
          <w:rFonts w:ascii="Times New Roman" w:hAnsi="Times New Roman"/>
          <w:color w:val="000000"/>
        </w:rPr>
        <w:t>4.2.4 （B）投标人</w:t>
      </w:r>
      <w:r>
        <w:rPr>
          <w:rFonts w:ascii="Times New Roman" w:hAnsi="Times New Roman"/>
        </w:rPr>
        <w:t>完成电子投标文件上传后，</w:t>
      </w:r>
      <w:r>
        <w:rPr>
          <w:rFonts w:ascii="Times New Roman" w:hAnsi="Times New Roman"/>
          <w:bCs/>
          <w:iCs/>
          <w:color w:val="000000"/>
        </w:rPr>
        <w:t>电子招标投标交易平台</w:t>
      </w:r>
      <w:r>
        <w:rPr>
          <w:rFonts w:ascii="Times New Roman" w:hAnsi="Times New Roman"/>
          <w:color w:val="000000"/>
        </w:rPr>
        <w:t>即时向投标人发出递交回执通知</w:t>
      </w:r>
      <w:r>
        <w:rPr>
          <w:rFonts w:ascii="Times New Roman" w:hAnsi="Times New Roman"/>
        </w:rPr>
        <w:t>。递交时间以递交回执通知载明的传输完成时间为准。</w:t>
      </w:r>
    </w:p>
    <w:p>
      <w:pPr>
        <w:spacing w:line="400" w:lineRule="exact"/>
        <w:ind w:firstLine="420" w:firstLineChars="200"/>
        <w:rPr>
          <w:rFonts w:ascii="Times New Roman" w:hAnsi="Times New Roman"/>
          <w:color w:val="000000"/>
        </w:rPr>
      </w:pPr>
      <w:r>
        <w:rPr>
          <w:rFonts w:ascii="Times New Roman" w:hAnsi="Times New Roman"/>
          <w:color w:val="000000"/>
        </w:rPr>
        <w:t xml:space="preserve">4.2.5 </w:t>
      </w:r>
      <w:r>
        <w:rPr>
          <w:rFonts w:ascii="Times New Roman" w:hAnsi="Times New Roman"/>
        </w:rPr>
        <w:t>（A）</w:t>
      </w:r>
      <w:r>
        <w:rPr>
          <w:rFonts w:ascii="Times New Roman" w:hAnsi="Times New Roman"/>
          <w:color w:val="000000"/>
        </w:rPr>
        <w:t>逾期送达的投标文件，招标人将予以拒收。</w:t>
      </w:r>
    </w:p>
    <w:p>
      <w:pPr>
        <w:spacing w:line="400" w:lineRule="exact"/>
        <w:ind w:firstLine="420" w:firstLineChars="200"/>
        <w:jc w:val="left"/>
        <w:rPr>
          <w:rFonts w:ascii="Times New Roman" w:hAnsi="Times New Roman"/>
        </w:rPr>
      </w:pPr>
      <w:r>
        <w:rPr>
          <w:rFonts w:ascii="Times New Roman" w:hAnsi="Times New Roman"/>
        </w:rPr>
        <w:t>4.2.5 （B）逾期送达的投标文件，电子招标投标交易平台将予以拒收。</w:t>
      </w:r>
    </w:p>
    <w:p>
      <w:pPr>
        <w:pStyle w:val="4"/>
        <w:spacing w:line="240" w:lineRule="auto"/>
        <w:ind w:firstLine="137"/>
        <w:rPr>
          <w:rFonts w:ascii="Times New Roman" w:hAnsi="Times New Roman"/>
          <w:color w:val="000000"/>
        </w:rPr>
      </w:pPr>
      <w:bookmarkStart w:id="216" w:name="_Toc492300383"/>
      <w:r>
        <w:rPr>
          <w:rFonts w:ascii="Times New Roman" w:hAnsi="Times New Roman"/>
          <w:color w:val="000000"/>
        </w:rPr>
        <w:t xml:space="preserve">4.3 </w:t>
      </w:r>
      <w:r>
        <w:rPr>
          <w:rFonts w:hint="eastAsia" w:ascii="Times New Roman" w:hAnsi="Times New Roman"/>
          <w:color w:val="000000"/>
        </w:rPr>
        <w:t>投标文件的修改与撤回</w:t>
      </w:r>
      <w:bookmarkEnd w:id="216"/>
    </w:p>
    <w:p>
      <w:pPr>
        <w:spacing w:line="400" w:lineRule="exact"/>
        <w:ind w:firstLine="420" w:firstLineChars="200"/>
        <w:rPr>
          <w:rFonts w:ascii="Times New Roman" w:hAnsi="Times New Roman"/>
          <w:color w:val="000000"/>
        </w:rPr>
      </w:pPr>
      <w:r>
        <w:rPr>
          <w:rFonts w:ascii="Times New Roman" w:hAnsi="Times New Roman"/>
          <w:color w:val="000000"/>
        </w:rPr>
        <w:t>4.3.1 在本章第4.2.1项规定的投标截止时间前，投标人可以修改或撤回已递交的投标文件，但应以书面形式通知招标人。</w:t>
      </w:r>
    </w:p>
    <w:p>
      <w:pPr>
        <w:spacing w:line="400" w:lineRule="exact"/>
        <w:ind w:firstLine="420" w:firstLineChars="200"/>
        <w:rPr>
          <w:rFonts w:ascii="Times New Roman" w:hAnsi="Times New Roman"/>
          <w:color w:val="000000"/>
        </w:rPr>
      </w:pPr>
      <w:r>
        <w:rPr>
          <w:rFonts w:ascii="Times New Roman" w:hAnsi="Times New Roman"/>
          <w:color w:val="000000"/>
        </w:rPr>
        <w:t>4.3.2 （A）投标人修改或撤回已递交投标文件的书面通知应按照本章第3.7.3（A）项的要求签字或盖章。招标人收到书面通知后，向投标人出具签收凭证。</w:t>
      </w:r>
    </w:p>
    <w:p>
      <w:pPr>
        <w:spacing w:line="400" w:lineRule="exact"/>
        <w:ind w:firstLine="420" w:firstLineChars="200"/>
        <w:rPr>
          <w:rFonts w:ascii="Times New Roman" w:hAnsi="Times New Roman"/>
          <w:color w:val="000000"/>
        </w:rPr>
      </w:pPr>
      <w:r>
        <w:rPr>
          <w:rFonts w:ascii="Times New Roman" w:hAnsi="Times New Roman"/>
          <w:color w:val="000000"/>
        </w:rPr>
        <w:t>4.3.2 （B）投标人修改或撤回已递交投标文件的通知，应按照本章第3.7.3（B）项的要求加盖电子印章。</w:t>
      </w:r>
      <w:r>
        <w:rPr>
          <w:rFonts w:ascii="Times New Roman" w:hAnsi="Times New Roman"/>
          <w:bCs/>
          <w:iCs/>
          <w:color w:val="000000"/>
        </w:rPr>
        <w:t>电子招标投标交易平台收到通知后，</w:t>
      </w:r>
      <w:r>
        <w:rPr>
          <w:rFonts w:ascii="Times New Roman" w:hAnsi="Times New Roman"/>
          <w:color w:val="000000"/>
        </w:rPr>
        <w:t>即时向投标人发出确认回执通知。</w:t>
      </w:r>
    </w:p>
    <w:p>
      <w:pPr>
        <w:spacing w:line="400" w:lineRule="exact"/>
        <w:ind w:firstLine="420" w:firstLineChars="200"/>
        <w:rPr>
          <w:rFonts w:ascii="Times New Roman" w:hAnsi="Times New Roman"/>
          <w:color w:val="000000"/>
        </w:rPr>
      </w:pPr>
      <w:r>
        <w:rPr>
          <w:rFonts w:ascii="Times New Roman" w:hAnsi="Times New Roman"/>
          <w:color w:val="000000"/>
        </w:rPr>
        <w:t>4.3.3 投标人撤回投标文件的，招标人自收到投标人书面撤回通知之日起5日内退还已收取的投标保证金。</w:t>
      </w:r>
    </w:p>
    <w:p>
      <w:pPr>
        <w:spacing w:line="400" w:lineRule="exact"/>
        <w:ind w:firstLine="420" w:firstLineChars="200"/>
        <w:rPr>
          <w:rFonts w:ascii="Times New Roman" w:hAnsi="Times New Roman"/>
          <w:color w:val="000000"/>
        </w:rPr>
      </w:pPr>
      <w:r>
        <w:rPr>
          <w:rFonts w:ascii="Times New Roman" w:hAnsi="Times New Roman"/>
          <w:color w:val="000000"/>
        </w:rPr>
        <w:t>4.3.</w:t>
      </w:r>
      <w:bookmarkStart w:id="217" w:name="_Toc144974521"/>
      <w:bookmarkStart w:id="218" w:name="_Toc152042329"/>
      <w:bookmarkStart w:id="219" w:name="_Toc361508610"/>
      <w:bookmarkStart w:id="220" w:name="_Toc247527578"/>
      <w:bookmarkStart w:id="221" w:name="_Toc152045553"/>
      <w:bookmarkStart w:id="222" w:name="_Toc369531541"/>
      <w:bookmarkStart w:id="223" w:name="_Toc247513977"/>
      <w:bookmarkStart w:id="224" w:name="_Toc300834974"/>
      <w:bookmarkStart w:id="225" w:name="_Toc19203"/>
      <w:bookmarkStart w:id="226" w:name="_Toc384308235"/>
      <w:bookmarkStart w:id="227" w:name="_Toc352691497"/>
      <w:r>
        <w:rPr>
          <w:rFonts w:ascii="Times New Roman" w:hAnsi="Times New Roman"/>
          <w:color w:val="000000"/>
        </w:rPr>
        <w:t>4 修改的内容为投标</w:t>
      </w:r>
      <w:bookmarkEnd w:id="217"/>
      <w:bookmarkEnd w:id="218"/>
      <w:bookmarkEnd w:id="219"/>
      <w:bookmarkEnd w:id="220"/>
      <w:bookmarkEnd w:id="221"/>
      <w:bookmarkEnd w:id="222"/>
      <w:bookmarkEnd w:id="223"/>
      <w:bookmarkEnd w:id="224"/>
      <w:bookmarkEnd w:id="225"/>
      <w:bookmarkEnd w:id="226"/>
      <w:bookmarkEnd w:id="227"/>
      <w:r>
        <w:rPr>
          <w:rFonts w:ascii="Times New Roman" w:hAnsi="Times New Roman"/>
          <w:color w:val="000000"/>
        </w:rPr>
        <w:t>文件的组成部分。修改的投标文件应按照本章第3条、第4条的规定进行编制、密封、标记和递交，并标明“修改”字样。</w:t>
      </w:r>
    </w:p>
    <w:p>
      <w:pPr>
        <w:pStyle w:val="3"/>
        <w:rPr>
          <w:rFonts w:ascii="Times New Roman" w:hAnsi="Times New Roman"/>
          <w:color w:val="000000"/>
        </w:rPr>
      </w:pPr>
      <w:bookmarkStart w:id="228" w:name="_Toc492300384"/>
      <w:r>
        <w:rPr>
          <w:rFonts w:ascii="Times New Roman" w:hAnsi="Times New Roman"/>
          <w:color w:val="000000"/>
        </w:rPr>
        <w:t xml:space="preserve">5. </w:t>
      </w:r>
      <w:r>
        <w:rPr>
          <w:rFonts w:hint="eastAsia" w:ascii="Times New Roman" w:hAnsi="Times New Roman"/>
          <w:color w:val="000000"/>
        </w:rPr>
        <w:t>开标</w:t>
      </w:r>
      <w:bookmarkEnd w:id="228"/>
    </w:p>
    <w:p>
      <w:pPr>
        <w:pStyle w:val="4"/>
        <w:spacing w:line="240" w:lineRule="auto"/>
        <w:ind w:firstLine="137"/>
        <w:rPr>
          <w:rFonts w:ascii="Times New Roman" w:hAnsi="Times New Roman"/>
          <w:color w:val="000000"/>
        </w:rPr>
      </w:pPr>
      <w:bookmarkStart w:id="229" w:name="_Toc492300385"/>
      <w:r>
        <w:rPr>
          <w:rFonts w:ascii="Times New Roman" w:hAnsi="Times New Roman"/>
          <w:color w:val="000000"/>
        </w:rPr>
        <w:t xml:space="preserve">5.1 </w:t>
      </w:r>
      <w:r>
        <w:rPr>
          <w:rFonts w:hint="eastAsia" w:ascii="Times New Roman" w:hAnsi="Times New Roman"/>
          <w:color w:val="000000"/>
        </w:rPr>
        <w:t>开标时间和地点</w:t>
      </w:r>
      <w:bookmarkEnd w:id="229"/>
    </w:p>
    <w:p>
      <w:pPr>
        <w:spacing w:line="400" w:lineRule="exact"/>
        <w:ind w:firstLine="420" w:firstLineChars="200"/>
        <w:rPr>
          <w:rFonts w:ascii="Times New Roman" w:hAnsi="Times New Roman"/>
          <w:color w:val="000000"/>
        </w:rPr>
      </w:pPr>
      <w:r>
        <w:rPr>
          <w:rFonts w:ascii="Times New Roman" w:hAnsi="Times New Roman"/>
          <w:color w:val="000000"/>
        </w:rPr>
        <w:t>招标人在本章第4.2.1项规定的投标截止时间（开标时间）和投标人须知前附表规定的地点公开开标，并邀请所有投标人的法定代表人或其委托代理人准时参加。</w:t>
      </w:r>
    </w:p>
    <w:p>
      <w:pPr>
        <w:pStyle w:val="4"/>
        <w:spacing w:line="240" w:lineRule="auto"/>
        <w:ind w:firstLine="137"/>
        <w:rPr>
          <w:rFonts w:ascii="Times New Roman" w:hAnsi="Times New Roman"/>
          <w:color w:val="000000"/>
        </w:rPr>
      </w:pPr>
      <w:bookmarkStart w:id="230" w:name="_Toc492300387"/>
      <w:r>
        <w:rPr>
          <w:rFonts w:ascii="Times New Roman" w:hAnsi="Times New Roman"/>
          <w:color w:val="000000"/>
        </w:rPr>
        <w:t xml:space="preserve">5.2 </w:t>
      </w:r>
      <w:r>
        <w:rPr>
          <w:rFonts w:hint="eastAsia" w:ascii="Times New Roman" w:hAnsi="Times New Roman"/>
          <w:color w:val="000000"/>
        </w:rPr>
        <w:t>开标程序</w:t>
      </w:r>
      <w:bookmarkEnd w:id="230"/>
    </w:p>
    <w:p>
      <w:pPr>
        <w:spacing w:line="400" w:lineRule="exact"/>
        <w:ind w:firstLine="420" w:firstLineChars="200"/>
        <w:rPr>
          <w:rFonts w:ascii="Times New Roman" w:hAnsi="Times New Roman"/>
          <w:color w:val="000000"/>
        </w:rPr>
      </w:pPr>
      <w:r>
        <w:rPr>
          <w:rFonts w:ascii="Times New Roman" w:hAnsi="Times New Roman"/>
          <w:color w:val="000000"/>
        </w:rPr>
        <w:t>主持人按下列程序进行开标：</w:t>
      </w:r>
    </w:p>
    <w:p>
      <w:pPr>
        <w:spacing w:line="400" w:lineRule="exact"/>
        <w:ind w:firstLine="420" w:firstLineChars="200"/>
        <w:rPr>
          <w:rFonts w:ascii="Times New Roman" w:hAnsi="Times New Roman"/>
          <w:color w:val="000000"/>
        </w:rPr>
      </w:pPr>
      <w:r>
        <w:rPr>
          <w:rFonts w:ascii="Times New Roman" w:hAnsi="Times New Roman"/>
          <w:color w:val="000000"/>
        </w:rPr>
        <w:t>（1）宣布开标纪律；</w:t>
      </w:r>
    </w:p>
    <w:p>
      <w:pPr>
        <w:spacing w:line="400" w:lineRule="exact"/>
        <w:ind w:firstLine="420" w:firstLineChars="200"/>
        <w:rPr>
          <w:rFonts w:ascii="Times New Roman" w:hAnsi="Times New Roman"/>
          <w:color w:val="000000"/>
        </w:rPr>
      </w:pPr>
      <w:r>
        <w:rPr>
          <w:rFonts w:ascii="Times New Roman" w:hAnsi="Times New Roman"/>
          <w:color w:val="000000"/>
        </w:rPr>
        <w:t>（2）公布在投标截止时间前递交投标文件的投标人名称；</w:t>
      </w:r>
    </w:p>
    <w:p>
      <w:pPr>
        <w:spacing w:line="400" w:lineRule="exact"/>
        <w:ind w:firstLine="420" w:firstLineChars="200"/>
        <w:rPr>
          <w:rFonts w:ascii="Times New Roman" w:hAnsi="Times New Roman"/>
          <w:color w:val="000000"/>
        </w:rPr>
      </w:pPr>
      <w:r>
        <w:rPr>
          <w:rFonts w:ascii="Times New Roman" w:hAnsi="Times New Roman"/>
          <w:color w:val="000000"/>
        </w:rPr>
        <w:t>（3）宣布</w:t>
      </w:r>
      <w:bookmarkStart w:id="231" w:name="_Toc352691498"/>
      <w:bookmarkStart w:id="232" w:name="_Toc152042330"/>
      <w:bookmarkStart w:id="233" w:name="_Toc152045554"/>
      <w:bookmarkStart w:id="234" w:name="_Toc144974522"/>
      <w:bookmarkStart w:id="235" w:name="_Toc369531542"/>
      <w:bookmarkStart w:id="236" w:name="_Toc247513978"/>
      <w:bookmarkStart w:id="237" w:name="_Toc22119"/>
      <w:bookmarkStart w:id="238" w:name="_Toc384308236"/>
      <w:bookmarkStart w:id="239" w:name="_Toc361508611"/>
      <w:bookmarkStart w:id="240" w:name="_Toc300834975"/>
      <w:bookmarkStart w:id="241" w:name="_Toc247527579"/>
      <w:r>
        <w:rPr>
          <w:rFonts w:ascii="Times New Roman" w:hAnsi="Times New Roman"/>
          <w:color w:val="000000"/>
        </w:rPr>
        <w:t>开标人、唱标人、记录人</w:t>
      </w:r>
      <w:bookmarkEnd w:id="231"/>
      <w:bookmarkEnd w:id="232"/>
      <w:bookmarkEnd w:id="233"/>
      <w:bookmarkEnd w:id="234"/>
      <w:bookmarkEnd w:id="235"/>
      <w:bookmarkEnd w:id="236"/>
      <w:bookmarkEnd w:id="237"/>
      <w:bookmarkEnd w:id="238"/>
      <w:bookmarkEnd w:id="239"/>
      <w:bookmarkEnd w:id="240"/>
      <w:bookmarkEnd w:id="241"/>
      <w:r>
        <w:rPr>
          <w:rFonts w:ascii="Times New Roman" w:hAnsi="Times New Roman"/>
          <w:color w:val="000000"/>
        </w:rPr>
        <w:t>、监标人等有关人员姓名；</w:t>
      </w:r>
    </w:p>
    <w:p>
      <w:pPr>
        <w:spacing w:line="400" w:lineRule="exact"/>
        <w:ind w:firstLine="420" w:firstLineChars="200"/>
        <w:rPr>
          <w:rFonts w:ascii="Times New Roman" w:hAnsi="Times New Roman"/>
          <w:color w:val="000000"/>
        </w:rPr>
      </w:pPr>
      <w:r>
        <w:rPr>
          <w:rFonts w:ascii="Times New Roman" w:hAnsi="Times New Roman"/>
          <w:color w:val="000000"/>
        </w:rPr>
        <w:t>（4）检查投标文件的密封情况，按照投标人须知前附表规定的开标顺序当众开标，公布招标项目名称、投标人名称、投标保证金的递交情况、投标报价、设计服务期限及其他内容，并记录在案；</w:t>
      </w:r>
    </w:p>
    <w:p>
      <w:pPr>
        <w:spacing w:line="400" w:lineRule="exact"/>
        <w:ind w:firstLine="420" w:firstLineChars="200"/>
        <w:rPr>
          <w:rFonts w:ascii="Times New Roman" w:hAnsi="Times New Roman"/>
          <w:color w:val="000000"/>
        </w:rPr>
      </w:pPr>
      <w:r>
        <w:rPr>
          <w:rFonts w:ascii="Times New Roman" w:hAnsi="Times New Roman"/>
          <w:color w:val="000000"/>
        </w:rPr>
        <w:t>（5）投标人代表、招标人代表、监标人、记录人等有关人员在开标记录上签字确认；</w:t>
      </w:r>
    </w:p>
    <w:p>
      <w:pPr>
        <w:spacing w:line="400" w:lineRule="exact"/>
        <w:ind w:firstLine="420" w:firstLineChars="200"/>
        <w:rPr>
          <w:rFonts w:hint="eastAsia" w:ascii="Times New Roman" w:hAnsi="Times New Roman"/>
          <w:color w:val="000000"/>
          <w:lang w:val="en-US" w:eastAsia="zh-CN"/>
        </w:rPr>
      </w:pPr>
      <w:r>
        <w:rPr>
          <w:rFonts w:hint="eastAsia" w:ascii="Times New Roman" w:hAnsi="Times New Roman"/>
          <w:color w:val="000000"/>
          <w:lang w:eastAsia="zh-CN"/>
        </w:rPr>
        <w:t>（</w:t>
      </w:r>
      <w:r>
        <w:rPr>
          <w:rFonts w:hint="eastAsia" w:ascii="Times New Roman" w:hAnsi="Times New Roman"/>
          <w:color w:val="000000"/>
          <w:lang w:val="en-US" w:eastAsia="zh-CN"/>
        </w:rPr>
        <w:t>6</w:t>
      </w:r>
      <w:r>
        <w:rPr>
          <w:rFonts w:hint="eastAsia" w:ascii="Times New Roman" w:hAnsi="Times New Roman"/>
          <w:color w:val="000000"/>
          <w:lang w:eastAsia="zh-CN"/>
        </w:rPr>
        <w:t>）</w:t>
      </w:r>
      <w:r>
        <w:rPr>
          <w:rFonts w:hint="eastAsia" w:ascii="Times New Roman" w:hAnsi="Times New Roman"/>
          <w:color w:val="000000"/>
          <w:lang w:val="en-US" w:eastAsia="zh-CN"/>
        </w:rPr>
        <w:t>投标人依次单独对投标设计方案的演示讲解；</w:t>
      </w:r>
    </w:p>
    <w:p>
      <w:pPr>
        <w:spacing w:line="400" w:lineRule="exact"/>
        <w:ind w:firstLine="420" w:firstLineChars="200"/>
        <w:rPr>
          <w:rFonts w:ascii="Times New Roman" w:hAnsi="Times New Roman"/>
          <w:color w:val="000000"/>
        </w:rPr>
      </w:pPr>
      <w:r>
        <w:rPr>
          <w:rFonts w:hint="eastAsia" w:ascii="Times New Roman" w:hAnsi="Times New Roman"/>
          <w:color w:val="000000"/>
          <w:lang w:val="en-US" w:eastAsia="zh-CN"/>
        </w:rPr>
        <w:t>（7）评标委员会按照招标文件中的评标办法进行评标，整理评标报告；</w:t>
      </w:r>
    </w:p>
    <w:p>
      <w:pPr>
        <w:spacing w:line="400" w:lineRule="exact"/>
        <w:ind w:firstLine="420" w:firstLineChars="200"/>
        <w:rPr>
          <w:rFonts w:ascii="Times New Roman" w:hAnsi="Times New Roman"/>
          <w:color w:val="000000"/>
        </w:rPr>
      </w:pPr>
      <w:r>
        <w:rPr>
          <w:rFonts w:ascii="Times New Roman" w:hAnsi="Times New Roman"/>
          <w:color w:val="000000"/>
        </w:rPr>
        <w:t>（</w:t>
      </w:r>
      <w:r>
        <w:rPr>
          <w:rFonts w:hint="eastAsia" w:ascii="Times New Roman" w:hAnsi="Times New Roman"/>
          <w:color w:val="000000"/>
          <w:lang w:val="en-US" w:eastAsia="zh-CN"/>
        </w:rPr>
        <w:t>8</w:t>
      </w:r>
      <w:r>
        <w:rPr>
          <w:rFonts w:ascii="Times New Roman" w:hAnsi="Times New Roman"/>
          <w:color w:val="000000"/>
        </w:rPr>
        <w:t>）开标结束。</w:t>
      </w:r>
    </w:p>
    <w:p>
      <w:pPr>
        <w:pStyle w:val="4"/>
        <w:spacing w:line="240" w:lineRule="auto"/>
        <w:ind w:firstLine="137"/>
        <w:rPr>
          <w:rFonts w:ascii="Times New Roman" w:hAnsi="Times New Roman"/>
          <w:color w:val="000000"/>
        </w:rPr>
      </w:pPr>
      <w:bookmarkStart w:id="242" w:name="_Toc492300388"/>
      <w:r>
        <w:rPr>
          <w:rFonts w:ascii="Times New Roman" w:hAnsi="Times New Roman"/>
          <w:color w:val="000000"/>
        </w:rPr>
        <w:t xml:space="preserve">5.3 </w:t>
      </w:r>
      <w:r>
        <w:rPr>
          <w:rFonts w:hint="eastAsia" w:ascii="Times New Roman" w:hAnsi="Times New Roman"/>
          <w:color w:val="000000"/>
        </w:rPr>
        <w:t>开标异议</w:t>
      </w:r>
      <w:bookmarkEnd w:id="242"/>
    </w:p>
    <w:p>
      <w:pPr>
        <w:spacing w:line="400" w:lineRule="exact"/>
        <w:ind w:firstLine="359" w:firstLineChars="171"/>
        <w:rPr>
          <w:rFonts w:ascii="Times New Roman" w:hAnsi="Times New Roman"/>
          <w:color w:val="000000"/>
        </w:rPr>
      </w:pPr>
      <w:r>
        <w:rPr>
          <w:rFonts w:ascii="Times New Roman" w:hAnsi="Times New Roman"/>
          <w:color w:val="000000"/>
        </w:rPr>
        <w:t>投标人对开标有异议的，应当在开标现场提出，招标人当场作出答复，并制作记录。</w:t>
      </w:r>
    </w:p>
    <w:p>
      <w:pPr>
        <w:pStyle w:val="3"/>
        <w:rPr>
          <w:rFonts w:ascii="Times New Roman" w:hAnsi="Times New Roman"/>
          <w:color w:val="000000"/>
        </w:rPr>
      </w:pPr>
      <w:bookmarkStart w:id="243" w:name="_Toc492300389"/>
      <w:r>
        <w:rPr>
          <w:rFonts w:ascii="Times New Roman" w:hAnsi="Times New Roman"/>
          <w:color w:val="000000"/>
        </w:rPr>
        <w:t xml:space="preserve">6. </w:t>
      </w:r>
      <w:r>
        <w:rPr>
          <w:rFonts w:hint="eastAsia" w:ascii="Times New Roman" w:hAnsi="Times New Roman"/>
          <w:color w:val="000000"/>
        </w:rPr>
        <w:t>评标</w:t>
      </w:r>
      <w:bookmarkEnd w:id="243"/>
    </w:p>
    <w:p>
      <w:pPr>
        <w:pStyle w:val="4"/>
        <w:spacing w:line="240" w:lineRule="auto"/>
        <w:ind w:firstLine="137"/>
        <w:rPr>
          <w:rFonts w:ascii="Times New Roman" w:hAnsi="Times New Roman"/>
          <w:color w:val="000000"/>
        </w:rPr>
      </w:pPr>
      <w:bookmarkStart w:id="244" w:name="_Toc492300390"/>
      <w:r>
        <w:rPr>
          <w:rFonts w:ascii="Times New Roman" w:hAnsi="Times New Roman"/>
          <w:color w:val="000000"/>
        </w:rPr>
        <w:t xml:space="preserve">6.1 </w:t>
      </w:r>
      <w:r>
        <w:rPr>
          <w:rFonts w:hint="eastAsia" w:ascii="Times New Roman" w:hAnsi="Times New Roman"/>
          <w:color w:val="000000"/>
        </w:rPr>
        <w:t>评标委员会</w:t>
      </w:r>
      <w:bookmarkEnd w:id="244"/>
    </w:p>
    <w:p>
      <w:pPr>
        <w:spacing w:line="400" w:lineRule="exact"/>
        <w:ind w:firstLine="420" w:firstLineChars="200"/>
        <w:rPr>
          <w:rFonts w:ascii="Times New Roman" w:hAnsi="Times New Roman"/>
          <w:color w:val="000000"/>
        </w:rPr>
      </w:pPr>
      <w:r>
        <w:rPr>
          <w:rFonts w:ascii="Times New Roman" w:hAnsi="Times New Roman"/>
          <w:color w:val="000000"/>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6.1.2 评标委员会成员有下列情形之一的，应当回避：</w:t>
      </w:r>
    </w:p>
    <w:p>
      <w:pPr>
        <w:spacing w:line="400" w:lineRule="exact"/>
        <w:ind w:firstLine="718" w:firstLineChars="342"/>
        <w:rPr>
          <w:rFonts w:ascii="Times New Roman" w:hAnsi="Times New Roman"/>
          <w:color w:val="000000"/>
        </w:rPr>
      </w:pPr>
      <w:r>
        <w:rPr>
          <w:rFonts w:ascii="Times New Roman" w:hAnsi="Times New Roman"/>
          <w:color w:val="000000"/>
        </w:rPr>
        <w:t>（1）投标人或投标人主要负责人的近亲属；</w:t>
      </w:r>
    </w:p>
    <w:p>
      <w:pPr>
        <w:spacing w:line="400" w:lineRule="exact"/>
        <w:ind w:firstLine="718" w:firstLineChars="342"/>
        <w:rPr>
          <w:rFonts w:ascii="Times New Roman" w:hAnsi="Times New Roman"/>
          <w:color w:val="000000"/>
        </w:rPr>
      </w:pPr>
      <w:r>
        <w:rPr>
          <w:rFonts w:ascii="Times New Roman" w:hAnsi="Times New Roman"/>
          <w:color w:val="000000"/>
        </w:rPr>
        <w:t>（2）项目主管部门或者行政监督部门的人员；</w:t>
      </w:r>
    </w:p>
    <w:p>
      <w:pPr>
        <w:spacing w:line="400" w:lineRule="exact"/>
        <w:ind w:firstLine="718" w:firstLineChars="342"/>
        <w:rPr>
          <w:rFonts w:ascii="Times New Roman" w:hAnsi="Times New Roman"/>
          <w:color w:val="000000"/>
        </w:rPr>
      </w:pPr>
      <w:r>
        <w:rPr>
          <w:rFonts w:ascii="Times New Roman" w:hAnsi="Times New Roman"/>
          <w:color w:val="000000"/>
        </w:rPr>
        <w:t>（3）与投标人有经济利益关系，可能影响对投标公正评审的；</w:t>
      </w:r>
    </w:p>
    <w:p>
      <w:pPr>
        <w:spacing w:line="400" w:lineRule="exact"/>
        <w:ind w:firstLine="718" w:firstLineChars="342"/>
        <w:rPr>
          <w:rFonts w:ascii="Times New Roman" w:hAnsi="Times New Roman"/>
          <w:color w:val="000000"/>
        </w:rPr>
      </w:pPr>
      <w:r>
        <w:rPr>
          <w:rFonts w:ascii="Times New Roman" w:hAnsi="Times New Roman"/>
          <w:color w:val="000000"/>
        </w:rPr>
        <w:t>（4）曾因在招标、评</w:t>
      </w:r>
      <w:bookmarkStart w:id="245" w:name="_Toc361508612"/>
      <w:bookmarkStart w:id="246" w:name="_Toc152045555"/>
      <w:bookmarkStart w:id="247" w:name="_Toc352691499"/>
      <w:bookmarkStart w:id="248" w:name="_Toc152042331"/>
      <w:bookmarkStart w:id="249" w:name="_Toc144974523"/>
      <w:bookmarkStart w:id="250" w:name="_Toc6230"/>
      <w:bookmarkStart w:id="251" w:name="_Toc247513979"/>
      <w:bookmarkStart w:id="252" w:name="_Toc369531543"/>
      <w:bookmarkStart w:id="253" w:name="_Toc384308237"/>
      <w:bookmarkStart w:id="254" w:name="_Toc300834976"/>
      <w:bookmarkStart w:id="255" w:name="_Toc247527580"/>
      <w:r>
        <w:rPr>
          <w:rFonts w:ascii="Times New Roman" w:hAnsi="Times New Roman"/>
          <w:color w:val="000000"/>
        </w:rPr>
        <w:t>标以及其他</w:t>
      </w:r>
      <w:bookmarkEnd w:id="245"/>
      <w:bookmarkEnd w:id="246"/>
      <w:bookmarkEnd w:id="247"/>
      <w:bookmarkEnd w:id="248"/>
      <w:bookmarkEnd w:id="249"/>
      <w:bookmarkEnd w:id="250"/>
      <w:bookmarkEnd w:id="251"/>
      <w:bookmarkEnd w:id="252"/>
      <w:bookmarkEnd w:id="253"/>
      <w:bookmarkEnd w:id="254"/>
      <w:bookmarkEnd w:id="255"/>
      <w:r>
        <w:rPr>
          <w:rFonts w:ascii="Times New Roman" w:hAnsi="Times New Roman"/>
          <w:color w:val="000000"/>
        </w:rPr>
        <w:t>与</w:t>
      </w:r>
      <w:bookmarkStart w:id="256" w:name="_Toc369531544"/>
      <w:bookmarkStart w:id="257" w:name="_Toc144974524"/>
      <w:bookmarkStart w:id="258" w:name="_Toc352691500"/>
      <w:bookmarkStart w:id="259" w:name="_Toc152042332"/>
      <w:bookmarkStart w:id="260" w:name="_Toc300834977"/>
      <w:bookmarkStart w:id="261" w:name="_Toc247513980"/>
      <w:bookmarkStart w:id="262" w:name="_Toc384308238"/>
      <w:bookmarkStart w:id="263" w:name="_Toc361508613"/>
      <w:bookmarkStart w:id="264" w:name="_Toc247527581"/>
      <w:bookmarkStart w:id="265" w:name="_Toc152045556"/>
      <w:bookmarkStart w:id="266" w:name="_Toc17703"/>
      <w:r>
        <w:rPr>
          <w:rFonts w:ascii="Times New Roman" w:hAnsi="Times New Roman"/>
          <w:color w:val="000000"/>
        </w:rPr>
        <w:t>招标投标有关活动中从事违法行</w:t>
      </w:r>
      <w:bookmarkEnd w:id="256"/>
      <w:bookmarkEnd w:id="257"/>
      <w:bookmarkEnd w:id="258"/>
      <w:bookmarkEnd w:id="259"/>
      <w:bookmarkEnd w:id="260"/>
      <w:bookmarkEnd w:id="261"/>
      <w:bookmarkEnd w:id="262"/>
      <w:bookmarkEnd w:id="263"/>
      <w:bookmarkEnd w:id="264"/>
      <w:bookmarkEnd w:id="265"/>
      <w:bookmarkEnd w:id="266"/>
      <w:r>
        <w:rPr>
          <w:rFonts w:ascii="Times New Roman" w:hAnsi="Times New Roman"/>
          <w:color w:val="000000"/>
        </w:rPr>
        <w:t>为而受过行政处罚或刑事处罚的；</w:t>
      </w:r>
    </w:p>
    <w:p>
      <w:pPr>
        <w:spacing w:line="400" w:lineRule="exact"/>
        <w:ind w:firstLine="718" w:firstLineChars="342"/>
        <w:rPr>
          <w:rFonts w:ascii="Times New Roman" w:hAnsi="Times New Roman"/>
          <w:color w:val="000000"/>
        </w:rPr>
      </w:pPr>
      <w:r>
        <w:rPr>
          <w:rFonts w:ascii="Times New Roman" w:hAnsi="Times New Roman"/>
          <w:color w:val="000000"/>
        </w:rPr>
        <w:t>（5）与投标人有其他利害关系。</w:t>
      </w:r>
    </w:p>
    <w:p>
      <w:pPr>
        <w:spacing w:line="400" w:lineRule="exact"/>
        <w:ind w:firstLine="420" w:firstLineChars="200"/>
        <w:rPr>
          <w:rFonts w:ascii="Times New Roman" w:hAnsi="Times New Roman"/>
          <w:color w:val="000000"/>
        </w:rPr>
      </w:pPr>
      <w:r>
        <w:rPr>
          <w:rFonts w:ascii="Times New Roman" w:hAnsi="Times New Roman"/>
          <w:color w:val="000000"/>
        </w:rPr>
        <w:t>6.1.3 评标过程中，评标委员会成员有回避事由、擅离职守或者因健康等原因不能继续评标的，招标人有权更换。被更换的评标委员会成员作出的评审结论无效，由更换后的评标委员会成员重新进行评审。</w:t>
      </w:r>
    </w:p>
    <w:p>
      <w:pPr>
        <w:pStyle w:val="4"/>
        <w:spacing w:line="240" w:lineRule="auto"/>
        <w:ind w:firstLine="137"/>
        <w:rPr>
          <w:rFonts w:ascii="Times New Roman" w:hAnsi="Times New Roman"/>
          <w:color w:val="000000"/>
        </w:rPr>
      </w:pPr>
      <w:bookmarkStart w:id="267" w:name="_Toc492300391"/>
      <w:r>
        <w:rPr>
          <w:rFonts w:ascii="Times New Roman" w:hAnsi="Times New Roman"/>
          <w:color w:val="000000"/>
        </w:rPr>
        <w:t xml:space="preserve">6.2 </w:t>
      </w:r>
      <w:r>
        <w:rPr>
          <w:rFonts w:hint="eastAsia" w:ascii="Times New Roman" w:hAnsi="Times New Roman"/>
          <w:color w:val="000000"/>
        </w:rPr>
        <w:t>评标原则</w:t>
      </w:r>
      <w:bookmarkEnd w:id="267"/>
    </w:p>
    <w:p>
      <w:pPr>
        <w:spacing w:line="400" w:lineRule="exact"/>
        <w:ind w:firstLine="420" w:firstLineChars="200"/>
        <w:rPr>
          <w:rFonts w:ascii="Times New Roman" w:hAnsi="Times New Roman"/>
          <w:color w:val="000000"/>
        </w:rPr>
      </w:pPr>
      <w:r>
        <w:rPr>
          <w:rFonts w:ascii="Times New Roman" w:hAnsi="Times New Roman"/>
          <w:color w:val="000000"/>
        </w:rPr>
        <w:t>评标活动遵循公平、公正、科学和择优的原</w:t>
      </w:r>
      <w:bookmarkStart w:id="268" w:name="_Toc361508614"/>
      <w:bookmarkStart w:id="269" w:name="_Toc300834978"/>
      <w:bookmarkStart w:id="270" w:name="_Toc369531545"/>
      <w:bookmarkStart w:id="271" w:name="_Toc152045557"/>
      <w:bookmarkStart w:id="272" w:name="_Toc384308239"/>
      <w:bookmarkStart w:id="273" w:name="_Toc247527582"/>
      <w:bookmarkStart w:id="274" w:name="_Toc247513981"/>
      <w:bookmarkStart w:id="275" w:name="_Toc352691501"/>
      <w:bookmarkStart w:id="276" w:name="_Toc18949"/>
      <w:bookmarkStart w:id="277" w:name="_Toc152042333"/>
      <w:bookmarkStart w:id="278" w:name="_Toc144974525"/>
      <w:r>
        <w:rPr>
          <w:rFonts w:ascii="Times New Roman" w:hAnsi="Times New Roman"/>
          <w:color w:val="000000"/>
        </w:rPr>
        <w:t>则。</w:t>
      </w:r>
    </w:p>
    <w:p>
      <w:pPr>
        <w:pStyle w:val="4"/>
        <w:spacing w:line="240" w:lineRule="auto"/>
        <w:ind w:firstLine="137"/>
        <w:rPr>
          <w:rFonts w:ascii="Times New Roman" w:hAnsi="Times New Roman"/>
          <w:color w:val="000000"/>
        </w:rPr>
      </w:pPr>
      <w:bookmarkStart w:id="279" w:name="_Toc492300392"/>
      <w:r>
        <w:rPr>
          <w:rFonts w:ascii="Times New Roman" w:hAnsi="Times New Roman"/>
          <w:color w:val="000000"/>
        </w:rPr>
        <w:t xml:space="preserve">6.3 </w:t>
      </w:r>
      <w:r>
        <w:rPr>
          <w:rFonts w:hint="eastAsia" w:ascii="Times New Roman" w:hAnsi="Times New Roman"/>
          <w:color w:val="000000"/>
        </w:rPr>
        <w:t>评标</w:t>
      </w:r>
      <w:bookmarkEnd w:id="279"/>
    </w:p>
    <w:p>
      <w:pPr>
        <w:spacing w:line="400" w:lineRule="exact"/>
        <w:ind w:firstLine="420" w:firstLineChars="200"/>
        <w:rPr>
          <w:rFonts w:ascii="Times New Roman" w:hAnsi="Times New Roman"/>
          <w:color w:val="000000"/>
        </w:rPr>
      </w:pPr>
      <w:r>
        <w:rPr>
          <w:rFonts w:ascii="Times New Roman" w:hAnsi="Times New Roman"/>
          <w:color w:val="000000"/>
        </w:rPr>
        <w:t>6</w:t>
      </w:r>
      <w:bookmarkEnd w:id="268"/>
      <w:bookmarkEnd w:id="269"/>
      <w:bookmarkEnd w:id="270"/>
      <w:bookmarkEnd w:id="271"/>
      <w:bookmarkEnd w:id="272"/>
      <w:bookmarkEnd w:id="273"/>
      <w:bookmarkEnd w:id="274"/>
      <w:bookmarkEnd w:id="275"/>
      <w:bookmarkEnd w:id="276"/>
      <w:bookmarkEnd w:id="277"/>
      <w:bookmarkEnd w:id="278"/>
      <w:r>
        <w:rPr>
          <w:rFonts w:ascii="Times New Roman" w:hAnsi="Times New Roman"/>
          <w:color w:val="000000"/>
        </w:rPr>
        <w:t>.3.1评标委员会按照第三章“评标办法”规定的方法、评审因素、标准和程序对投标文件进行评审。第三章“评标办法”没有规定的方法、评审因素和标准，不作为评标依据。</w:t>
      </w:r>
    </w:p>
    <w:p>
      <w:pPr>
        <w:spacing w:line="400" w:lineRule="exact"/>
        <w:ind w:firstLine="420" w:firstLineChars="200"/>
        <w:rPr>
          <w:rFonts w:ascii="Times New Roman" w:hAnsi="Times New Roman"/>
          <w:color w:val="000000"/>
        </w:rPr>
      </w:pPr>
      <w:r>
        <w:rPr>
          <w:rFonts w:ascii="Times New Roman" w:hAnsi="Times New Roman"/>
          <w:color w:val="000000"/>
        </w:rPr>
        <w:t>6.3.2评标完成后，评标委员会应当向招标人提交书面评标报告和中标候选人名单。评标委员会推荐中标</w:t>
      </w:r>
      <w:bookmarkStart w:id="280" w:name="_Toc152045558"/>
      <w:bookmarkStart w:id="281" w:name="_Toc247527583"/>
      <w:bookmarkStart w:id="282" w:name="_Toc352691502"/>
      <w:bookmarkStart w:id="283" w:name="_Toc247513982"/>
      <w:bookmarkStart w:id="284" w:name="_Toc369531546"/>
      <w:bookmarkStart w:id="285" w:name="_Toc144974526"/>
      <w:bookmarkStart w:id="286" w:name="_Toc12259"/>
      <w:bookmarkStart w:id="287" w:name="_Toc361508615"/>
      <w:bookmarkStart w:id="288" w:name="_Toc152042334"/>
      <w:bookmarkStart w:id="289" w:name="_Toc300834979"/>
      <w:bookmarkStart w:id="290" w:name="_Toc384308240"/>
      <w:r>
        <w:rPr>
          <w:rFonts w:ascii="Times New Roman" w:hAnsi="Times New Roman"/>
          <w:color w:val="000000"/>
        </w:rPr>
        <w:t>候选人的人数见投标人须知前附</w:t>
      </w:r>
      <w:bookmarkEnd w:id="280"/>
      <w:bookmarkEnd w:id="281"/>
      <w:bookmarkEnd w:id="282"/>
      <w:bookmarkEnd w:id="283"/>
      <w:bookmarkEnd w:id="284"/>
      <w:bookmarkEnd w:id="285"/>
      <w:bookmarkEnd w:id="286"/>
      <w:bookmarkEnd w:id="287"/>
      <w:bookmarkEnd w:id="288"/>
      <w:bookmarkEnd w:id="289"/>
      <w:bookmarkEnd w:id="290"/>
      <w:r>
        <w:rPr>
          <w:rFonts w:ascii="Times New Roman" w:hAnsi="Times New Roman"/>
          <w:color w:val="000000"/>
        </w:rPr>
        <w:t>表。</w:t>
      </w:r>
    </w:p>
    <w:p>
      <w:pPr>
        <w:pStyle w:val="3"/>
        <w:rPr>
          <w:rFonts w:ascii="Times New Roman" w:hAnsi="Times New Roman"/>
          <w:color w:val="000000"/>
        </w:rPr>
      </w:pPr>
      <w:bookmarkStart w:id="291" w:name="_Toc492300393"/>
      <w:r>
        <w:rPr>
          <w:rFonts w:ascii="Times New Roman" w:hAnsi="Times New Roman"/>
          <w:color w:val="000000"/>
        </w:rPr>
        <w:t xml:space="preserve">7. </w:t>
      </w:r>
      <w:r>
        <w:rPr>
          <w:rFonts w:hint="eastAsia" w:ascii="Times New Roman" w:hAnsi="Times New Roman"/>
          <w:color w:val="000000"/>
        </w:rPr>
        <w:t>合同授予</w:t>
      </w:r>
      <w:bookmarkEnd w:id="291"/>
    </w:p>
    <w:p>
      <w:pPr>
        <w:pStyle w:val="4"/>
        <w:spacing w:line="240" w:lineRule="auto"/>
        <w:ind w:firstLine="137"/>
        <w:rPr>
          <w:rFonts w:ascii="Times New Roman" w:hAnsi="Times New Roman"/>
          <w:color w:val="000000"/>
        </w:rPr>
      </w:pPr>
      <w:bookmarkStart w:id="292" w:name="_Toc492300394"/>
      <w:r>
        <w:rPr>
          <w:rFonts w:ascii="Times New Roman" w:hAnsi="Times New Roman"/>
          <w:color w:val="000000"/>
        </w:rPr>
        <w:t xml:space="preserve">7.1 </w:t>
      </w:r>
      <w:r>
        <w:rPr>
          <w:rFonts w:hint="eastAsia" w:ascii="Times New Roman" w:hAnsi="Times New Roman"/>
          <w:color w:val="000000"/>
        </w:rPr>
        <w:t>中标候选人公示</w:t>
      </w:r>
      <w:bookmarkEnd w:id="292"/>
    </w:p>
    <w:p>
      <w:pPr>
        <w:spacing w:line="400" w:lineRule="exact"/>
        <w:ind w:firstLine="420" w:firstLineChars="200"/>
        <w:rPr>
          <w:rFonts w:ascii="Times New Roman" w:hAnsi="Times New Roman"/>
          <w:color w:val="000000"/>
        </w:rPr>
      </w:pPr>
      <w:r>
        <w:rPr>
          <w:rFonts w:ascii="Times New Roman" w:hAnsi="Times New Roman"/>
          <w:color w:val="000000"/>
        </w:rPr>
        <w:t>招标人在收到评标报告之日起3日内，按照投标人须知前附表规定的公示媒介和期限公示中标候选人，公示期不得少于3天。</w:t>
      </w:r>
    </w:p>
    <w:p>
      <w:pPr>
        <w:pStyle w:val="4"/>
        <w:spacing w:line="240" w:lineRule="auto"/>
        <w:ind w:firstLine="137"/>
        <w:rPr>
          <w:rFonts w:ascii="Times New Roman" w:hAnsi="Times New Roman"/>
          <w:color w:val="000000"/>
        </w:rPr>
      </w:pPr>
      <w:bookmarkStart w:id="293" w:name="_Toc492300395"/>
      <w:r>
        <w:rPr>
          <w:rFonts w:ascii="Times New Roman" w:hAnsi="Times New Roman"/>
          <w:color w:val="000000"/>
        </w:rPr>
        <w:t xml:space="preserve">7.2 </w:t>
      </w:r>
      <w:r>
        <w:rPr>
          <w:rFonts w:hint="eastAsia" w:ascii="Times New Roman" w:hAnsi="Times New Roman"/>
          <w:color w:val="000000"/>
        </w:rPr>
        <w:t>评标结果异议</w:t>
      </w:r>
      <w:bookmarkEnd w:id="293"/>
    </w:p>
    <w:p>
      <w:pPr>
        <w:spacing w:line="400" w:lineRule="exact"/>
        <w:ind w:firstLine="420" w:firstLineChars="200"/>
        <w:rPr>
          <w:rFonts w:ascii="Times New Roman" w:hAnsi="Times New Roman"/>
          <w:color w:val="000000"/>
        </w:rPr>
      </w:pPr>
      <w:r>
        <w:rPr>
          <w:rFonts w:ascii="Times New Roman" w:hAnsi="Times New Roman"/>
          <w:color w:val="000000"/>
        </w:rPr>
        <w:t>投标人或者其他利</w:t>
      </w:r>
      <w:bookmarkStart w:id="294" w:name="_Toc361508618"/>
      <w:bookmarkStart w:id="295" w:name="_Toc384308243"/>
      <w:bookmarkStart w:id="296" w:name="_Toc144974529"/>
      <w:bookmarkStart w:id="297" w:name="_Toc300834982"/>
      <w:bookmarkStart w:id="298" w:name="_Toc247513985"/>
      <w:bookmarkStart w:id="299" w:name="_Toc30095"/>
      <w:bookmarkStart w:id="300" w:name="_Toc152045561"/>
      <w:bookmarkStart w:id="301" w:name="_Toc352691505"/>
      <w:bookmarkStart w:id="302" w:name="_Toc247527586"/>
      <w:bookmarkStart w:id="303" w:name="_Toc152042337"/>
      <w:bookmarkStart w:id="304" w:name="_Toc369531549"/>
      <w:r>
        <w:rPr>
          <w:rFonts w:ascii="Times New Roman" w:hAnsi="Times New Roman"/>
          <w:color w:val="000000"/>
        </w:rPr>
        <w:t>害关系人对评标结</w:t>
      </w:r>
      <w:bookmarkEnd w:id="294"/>
      <w:bookmarkEnd w:id="295"/>
      <w:bookmarkEnd w:id="296"/>
      <w:bookmarkEnd w:id="297"/>
      <w:bookmarkEnd w:id="298"/>
      <w:bookmarkEnd w:id="299"/>
      <w:bookmarkEnd w:id="300"/>
      <w:bookmarkEnd w:id="301"/>
      <w:bookmarkEnd w:id="302"/>
      <w:bookmarkEnd w:id="303"/>
      <w:bookmarkEnd w:id="304"/>
      <w:r>
        <w:rPr>
          <w:rFonts w:ascii="Times New Roman" w:hAnsi="Times New Roman"/>
          <w:color w:val="000000"/>
        </w:rPr>
        <w:t>果有异议的，应当在中标候选人公示期间提出。招标人将在收到异议之日起3日内作出答复；作出答复前，将暂停招标投标活动。</w:t>
      </w:r>
    </w:p>
    <w:p>
      <w:pPr>
        <w:pStyle w:val="4"/>
        <w:spacing w:line="240" w:lineRule="auto"/>
        <w:ind w:firstLine="137"/>
        <w:rPr>
          <w:rFonts w:ascii="Times New Roman" w:hAnsi="Times New Roman"/>
          <w:color w:val="000000"/>
        </w:rPr>
      </w:pPr>
      <w:bookmarkStart w:id="305" w:name="_Toc492300396"/>
      <w:r>
        <w:rPr>
          <w:rFonts w:ascii="Times New Roman" w:hAnsi="Times New Roman"/>
          <w:color w:val="000000"/>
        </w:rPr>
        <w:t xml:space="preserve">7.3 </w:t>
      </w:r>
      <w:r>
        <w:rPr>
          <w:rFonts w:hint="eastAsia" w:ascii="Times New Roman" w:hAnsi="Times New Roman"/>
          <w:color w:val="000000"/>
        </w:rPr>
        <w:t>中标候选人履约能力审查</w:t>
      </w:r>
      <w:bookmarkEnd w:id="305"/>
    </w:p>
    <w:p>
      <w:pPr>
        <w:spacing w:line="400" w:lineRule="exact"/>
        <w:ind w:firstLine="420" w:firstLineChars="200"/>
        <w:rPr>
          <w:rFonts w:ascii="Times New Roman" w:hAnsi="Times New Roman"/>
          <w:color w:val="000000"/>
        </w:rPr>
      </w:pPr>
      <w:r>
        <w:rPr>
          <w:rFonts w:ascii="Times New Roman" w:hAnsi="Times New Roman"/>
          <w:color w:val="000000"/>
        </w:rPr>
        <w:t>中标候选人的经营、财务状况发生较大变化或存在违法行为，招标人认为可能影响其履约能力的，将在发出中标通知书前提请原评标委员会按照招标文件规定的标准和方法进行审查确认。</w:t>
      </w:r>
    </w:p>
    <w:p>
      <w:pPr>
        <w:pStyle w:val="4"/>
        <w:spacing w:line="240" w:lineRule="auto"/>
        <w:ind w:firstLine="137"/>
        <w:rPr>
          <w:rFonts w:ascii="Times New Roman" w:hAnsi="Times New Roman"/>
          <w:color w:val="000000"/>
        </w:rPr>
      </w:pPr>
      <w:bookmarkStart w:id="306" w:name="_Toc492300397"/>
      <w:r>
        <w:rPr>
          <w:rFonts w:ascii="Times New Roman" w:hAnsi="Times New Roman"/>
          <w:color w:val="000000"/>
        </w:rPr>
        <w:t xml:space="preserve">7.4 </w:t>
      </w:r>
      <w:r>
        <w:rPr>
          <w:rFonts w:hint="eastAsia" w:ascii="Times New Roman" w:hAnsi="Times New Roman"/>
          <w:color w:val="000000"/>
        </w:rPr>
        <w:t>定标</w:t>
      </w:r>
      <w:bookmarkEnd w:id="306"/>
    </w:p>
    <w:p>
      <w:pPr>
        <w:spacing w:line="400" w:lineRule="exact"/>
        <w:ind w:firstLine="420" w:firstLineChars="200"/>
        <w:rPr>
          <w:rFonts w:ascii="Times New Roman" w:hAnsi="Times New Roman"/>
          <w:color w:val="000000"/>
        </w:rPr>
      </w:pPr>
      <w:r>
        <w:rPr>
          <w:rFonts w:ascii="Times New Roman" w:hAnsi="Times New Roman"/>
          <w:color w:val="000000"/>
        </w:rPr>
        <w:t>按照投标人须知前附表的规定，招标人或招标人授权的评标委员会依法确定中标人。</w:t>
      </w:r>
    </w:p>
    <w:p>
      <w:pPr>
        <w:pStyle w:val="4"/>
        <w:spacing w:line="240" w:lineRule="auto"/>
        <w:ind w:firstLine="137"/>
        <w:rPr>
          <w:rFonts w:ascii="Times New Roman" w:hAnsi="Times New Roman"/>
          <w:color w:val="000000"/>
        </w:rPr>
      </w:pPr>
      <w:bookmarkStart w:id="307" w:name="_Toc492300398"/>
      <w:r>
        <w:rPr>
          <w:rFonts w:ascii="Times New Roman" w:hAnsi="Times New Roman"/>
          <w:color w:val="000000"/>
        </w:rPr>
        <w:t xml:space="preserve">7.5 </w:t>
      </w:r>
      <w:r>
        <w:rPr>
          <w:rFonts w:hint="eastAsia" w:ascii="Times New Roman" w:hAnsi="Times New Roman"/>
          <w:color w:val="000000"/>
        </w:rPr>
        <w:t>中标通知</w:t>
      </w:r>
      <w:bookmarkEnd w:id="307"/>
    </w:p>
    <w:p>
      <w:pPr>
        <w:spacing w:line="400" w:lineRule="exact"/>
        <w:ind w:firstLine="420" w:firstLineChars="200"/>
        <w:rPr>
          <w:rFonts w:ascii="Times New Roman" w:hAnsi="Times New Roman"/>
          <w:color w:val="000000"/>
        </w:rPr>
      </w:pPr>
      <w:r>
        <w:rPr>
          <w:rFonts w:ascii="Times New Roman" w:hAnsi="Times New Roman"/>
          <w:color w:val="000000"/>
        </w:rPr>
        <w:t>在本章第3.3款规定的投标有效期内，招标人以书面形式向中标人发出中标</w:t>
      </w:r>
      <w:bookmarkStart w:id="308" w:name="_Toc352691506"/>
      <w:bookmarkStart w:id="309" w:name="_Toc300834983"/>
      <w:bookmarkStart w:id="310" w:name="_Toc361508619"/>
      <w:bookmarkStart w:id="311" w:name="_Toc5668"/>
      <w:bookmarkStart w:id="312" w:name="_Toc384308244"/>
      <w:bookmarkStart w:id="313" w:name="_Toc369531550"/>
      <w:r>
        <w:rPr>
          <w:rFonts w:ascii="Times New Roman" w:hAnsi="Times New Roman"/>
          <w:color w:val="000000"/>
        </w:rPr>
        <w:t>通知书，同时将中</w:t>
      </w:r>
      <w:bookmarkEnd w:id="308"/>
      <w:bookmarkEnd w:id="309"/>
      <w:bookmarkEnd w:id="310"/>
      <w:bookmarkEnd w:id="311"/>
      <w:bookmarkEnd w:id="312"/>
      <w:bookmarkEnd w:id="313"/>
      <w:r>
        <w:rPr>
          <w:rFonts w:ascii="Times New Roman" w:hAnsi="Times New Roman"/>
          <w:color w:val="000000"/>
        </w:rPr>
        <w:t>标结果通知未中标的投标人。</w:t>
      </w:r>
    </w:p>
    <w:p>
      <w:pPr>
        <w:pStyle w:val="4"/>
        <w:spacing w:line="240" w:lineRule="auto"/>
        <w:ind w:firstLine="137"/>
        <w:rPr>
          <w:rFonts w:ascii="Times New Roman" w:hAnsi="Times New Roman"/>
          <w:color w:val="000000"/>
        </w:rPr>
      </w:pPr>
      <w:bookmarkStart w:id="314" w:name="_Toc492300401"/>
      <w:r>
        <w:rPr>
          <w:rFonts w:ascii="Times New Roman" w:hAnsi="Times New Roman"/>
          <w:color w:val="000000"/>
        </w:rPr>
        <w:t>7.</w:t>
      </w:r>
      <w:r>
        <w:rPr>
          <w:rFonts w:hint="eastAsia" w:ascii="Times New Roman" w:hAnsi="Times New Roman"/>
          <w:color w:val="000000"/>
        </w:rPr>
        <w:t>8</w:t>
      </w:r>
      <w:r>
        <w:rPr>
          <w:rFonts w:ascii="Times New Roman" w:hAnsi="Times New Roman"/>
          <w:color w:val="000000"/>
        </w:rPr>
        <w:t xml:space="preserve"> </w:t>
      </w:r>
      <w:r>
        <w:rPr>
          <w:rFonts w:hint="eastAsia" w:ascii="Times New Roman" w:hAnsi="Times New Roman"/>
          <w:color w:val="000000"/>
        </w:rPr>
        <w:t>签订合同</w:t>
      </w:r>
      <w:bookmarkEnd w:id="314"/>
    </w:p>
    <w:p>
      <w:pPr>
        <w:spacing w:line="400" w:lineRule="exact"/>
        <w:ind w:firstLine="420" w:firstLineChars="200"/>
        <w:rPr>
          <w:rFonts w:ascii="Times New Roman" w:hAnsi="Times New Roman"/>
          <w:color w:val="000000"/>
        </w:rPr>
      </w:pPr>
      <w:r>
        <w:rPr>
          <w:rFonts w:ascii="Times New Roman" w:hAnsi="Times New Roman"/>
          <w:color w:val="000000"/>
        </w:rPr>
        <w:t>7.</w:t>
      </w:r>
      <w:r>
        <w:rPr>
          <w:rFonts w:hint="eastAsia" w:ascii="Times New Roman" w:hAnsi="Times New Roman"/>
          <w:color w:val="000000"/>
        </w:rPr>
        <w:t>8</w:t>
      </w:r>
      <w:r>
        <w:rPr>
          <w:rFonts w:ascii="Times New Roman" w:hAnsi="Times New Roman"/>
          <w:color w:val="000000"/>
        </w:rPr>
        <w:t>.1 招标人和中标人应当在中标通知书发出之日起30日内，根据招标文件和中标人的投标文件订立书面合同。中标人</w:t>
      </w:r>
      <w:r>
        <w:t>无正当理由</w:t>
      </w:r>
      <w:r>
        <w:rPr>
          <w:rFonts w:hint="eastAsia"/>
        </w:rPr>
        <w:t>拒签</w:t>
      </w:r>
      <w:r>
        <w:t>合同，在签订合同时向招标人提出附加条件，或者不按照招标文件要求提交履约保证金的</w:t>
      </w:r>
      <w:r>
        <w:rPr>
          <w:rFonts w:ascii="Times New Roman" w:hAnsi="Times New Roman"/>
          <w:color w:val="000000"/>
        </w:rPr>
        <w:t>，招标人有权取消其中标资格，其投标保证金不予退还；给招标人造成的损失超过投标保证金数额的，中标人还应当对超过部分予以赔偿。</w:t>
      </w:r>
    </w:p>
    <w:p>
      <w:pPr>
        <w:spacing w:line="400" w:lineRule="exact"/>
        <w:ind w:firstLine="420" w:firstLineChars="200"/>
        <w:rPr>
          <w:rFonts w:ascii="Times New Roman" w:hAnsi="Times New Roman"/>
          <w:color w:val="000000"/>
        </w:rPr>
      </w:pPr>
      <w:r>
        <w:rPr>
          <w:rFonts w:ascii="Times New Roman" w:hAnsi="Times New Roman"/>
          <w:color w:val="000000"/>
        </w:rPr>
        <w:t>7.</w:t>
      </w:r>
      <w:r>
        <w:rPr>
          <w:rFonts w:hint="eastAsia" w:ascii="Times New Roman" w:hAnsi="Times New Roman"/>
          <w:color w:val="000000"/>
        </w:rPr>
        <w:t>8</w:t>
      </w:r>
      <w:r>
        <w:rPr>
          <w:rFonts w:ascii="Times New Roman" w:hAnsi="Times New Roman"/>
          <w:color w:val="000000"/>
        </w:rPr>
        <w:t>.2 发出中标通知书后，招标人无正当理由拒签合同，或者</w:t>
      </w:r>
      <w:r>
        <w:t>在签订合同时</w:t>
      </w:r>
      <w:r>
        <w:rPr>
          <w:rFonts w:hint="eastAsia"/>
        </w:rPr>
        <w:t>向中标人</w:t>
      </w:r>
      <w:r>
        <w:rPr>
          <w:rFonts w:ascii="Times New Roman" w:hAnsi="Times New Roman"/>
          <w:color w:val="000000"/>
        </w:rPr>
        <w:t>提出附加条件的，招标人向中标人退还投标保证金；给中标人造成损失的，还应当赔偿损失。</w:t>
      </w:r>
    </w:p>
    <w:p>
      <w:pPr>
        <w:spacing w:line="400" w:lineRule="exact"/>
        <w:ind w:firstLine="420" w:firstLineChars="200"/>
        <w:rPr>
          <w:rFonts w:ascii="Times New Roman" w:hAnsi="Times New Roman"/>
          <w:color w:val="000000"/>
          <w:szCs w:val="21"/>
        </w:rPr>
      </w:pPr>
      <w:r>
        <w:rPr>
          <w:rFonts w:ascii="Times New Roman" w:hAnsi="Times New Roman"/>
          <w:color w:val="000000"/>
        </w:rPr>
        <w:t>7.</w:t>
      </w:r>
      <w:r>
        <w:rPr>
          <w:rFonts w:hint="eastAsia" w:ascii="Times New Roman" w:hAnsi="Times New Roman"/>
          <w:color w:val="000000"/>
        </w:rPr>
        <w:t>8</w:t>
      </w:r>
      <w:r>
        <w:rPr>
          <w:rFonts w:ascii="Times New Roman" w:hAnsi="Times New Roman"/>
          <w:color w:val="000000"/>
        </w:rPr>
        <w:t>.3</w:t>
      </w:r>
      <w:r>
        <w:rPr>
          <w:rFonts w:ascii="Times New Roman" w:hAnsi="Times New Roman"/>
          <w:color w:val="000000"/>
          <w:szCs w:val="21"/>
        </w:rPr>
        <w:t>联合体中标的，联合体各方应当共同与招标人签订合同，就中标项目向招标人承担连带责任。</w:t>
      </w:r>
    </w:p>
    <w:p>
      <w:pPr>
        <w:pStyle w:val="3"/>
        <w:rPr>
          <w:rFonts w:ascii="Times New Roman" w:hAnsi="Times New Roman"/>
          <w:color w:val="000000"/>
        </w:rPr>
      </w:pPr>
      <w:bookmarkStart w:id="315" w:name="_Toc361508627"/>
      <w:bookmarkStart w:id="316" w:name="_Toc24067"/>
      <w:bookmarkStart w:id="317" w:name="_Toc384308252"/>
      <w:bookmarkStart w:id="318" w:name="_Toc492300402"/>
      <w:bookmarkStart w:id="319" w:name="_Toc152042344"/>
      <w:bookmarkStart w:id="320" w:name="_Toc144974536"/>
      <w:bookmarkStart w:id="321" w:name="_Toc247513992"/>
      <w:bookmarkStart w:id="322" w:name="_Toc300834991"/>
      <w:bookmarkStart w:id="323" w:name="_Toc152045568"/>
      <w:bookmarkStart w:id="324" w:name="_Toc247527593"/>
      <w:r>
        <w:rPr>
          <w:rFonts w:ascii="Times New Roman" w:hAnsi="Times New Roman"/>
          <w:color w:val="000000"/>
        </w:rPr>
        <w:t>8.</w:t>
      </w:r>
      <w:bookmarkEnd w:id="315"/>
      <w:bookmarkEnd w:id="316"/>
      <w:bookmarkEnd w:id="317"/>
      <w:r>
        <w:rPr>
          <w:rFonts w:hint="eastAsia" w:ascii="Times New Roman" w:hAnsi="Times New Roman"/>
          <w:color w:val="000000"/>
        </w:rPr>
        <w:t>纪律和监督</w:t>
      </w:r>
      <w:bookmarkEnd w:id="318"/>
    </w:p>
    <w:p>
      <w:pPr>
        <w:pStyle w:val="4"/>
        <w:spacing w:line="240" w:lineRule="auto"/>
        <w:ind w:firstLine="137"/>
        <w:rPr>
          <w:rFonts w:ascii="Times New Roman" w:hAnsi="Times New Roman"/>
          <w:color w:val="000000"/>
        </w:rPr>
      </w:pPr>
      <w:bookmarkStart w:id="325" w:name="_Toc492300403"/>
      <w:r>
        <w:rPr>
          <w:rFonts w:ascii="Times New Roman" w:hAnsi="Times New Roman"/>
          <w:color w:val="000000"/>
        </w:rPr>
        <w:t xml:space="preserve">8.1 </w:t>
      </w:r>
      <w:r>
        <w:rPr>
          <w:rFonts w:hint="eastAsia" w:ascii="Times New Roman" w:hAnsi="Times New Roman"/>
          <w:color w:val="000000"/>
        </w:rPr>
        <w:t>对招标人的纪律要求</w:t>
      </w:r>
      <w:bookmarkEnd w:id="325"/>
    </w:p>
    <w:p>
      <w:pPr>
        <w:spacing w:line="400" w:lineRule="exact"/>
        <w:ind w:firstLine="420" w:firstLineChars="200"/>
        <w:rPr>
          <w:rFonts w:ascii="Times New Roman" w:hAnsi="Times New Roman"/>
          <w:color w:val="000000"/>
        </w:rPr>
      </w:pPr>
      <w:r>
        <w:rPr>
          <w:rFonts w:ascii="Times New Roman" w:hAnsi="Times New Roman"/>
          <w:color w:val="000000"/>
        </w:rPr>
        <w:t>招标人不得泄露招标投标活动中应当保密的情况和资料，不得与投标人串通损害国家利益、社会公共利益或者他人合法权益。</w:t>
      </w:r>
    </w:p>
    <w:p>
      <w:pPr>
        <w:pStyle w:val="4"/>
        <w:spacing w:line="240" w:lineRule="auto"/>
        <w:ind w:firstLine="137"/>
        <w:rPr>
          <w:rFonts w:ascii="Times New Roman" w:hAnsi="Times New Roman"/>
          <w:color w:val="000000"/>
        </w:rPr>
      </w:pPr>
      <w:bookmarkStart w:id="326" w:name="_Toc492300404"/>
      <w:r>
        <w:rPr>
          <w:rFonts w:ascii="Times New Roman" w:hAnsi="Times New Roman"/>
          <w:color w:val="000000"/>
        </w:rPr>
        <w:t xml:space="preserve">8.2 </w:t>
      </w:r>
      <w:r>
        <w:rPr>
          <w:rFonts w:hint="eastAsia" w:ascii="Times New Roman" w:hAnsi="Times New Roman"/>
          <w:color w:val="000000"/>
        </w:rPr>
        <w:t>对投标人的纪律要求</w:t>
      </w:r>
      <w:bookmarkEnd w:id="326"/>
    </w:p>
    <w:p>
      <w:pPr>
        <w:spacing w:line="400" w:lineRule="exact"/>
        <w:ind w:firstLine="420" w:firstLineChars="200"/>
        <w:rPr>
          <w:rFonts w:ascii="Times New Roman" w:hAnsi="Times New Roman"/>
          <w:color w:val="000000"/>
        </w:rPr>
      </w:pPr>
      <w:r>
        <w:rPr>
          <w:rFonts w:ascii="Times New Roman" w:hAnsi="Times New Roman"/>
          <w:color w:val="000000"/>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spacing w:line="240" w:lineRule="auto"/>
        <w:ind w:firstLine="137"/>
        <w:rPr>
          <w:rFonts w:ascii="Times New Roman" w:hAnsi="Times New Roman"/>
          <w:color w:val="000000"/>
        </w:rPr>
      </w:pPr>
      <w:bookmarkStart w:id="327" w:name="_Toc492300405"/>
      <w:r>
        <w:rPr>
          <w:rFonts w:ascii="Times New Roman" w:hAnsi="Times New Roman"/>
          <w:color w:val="000000"/>
        </w:rPr>
        <w:t xml:space="preserve">8.3 </w:t>
      </w:r>
      <w:r>
        <w:rPr>
          <w:rFonts w:hint="eastAsia" w:ascii="Times New Roman" w:hAnsi="Times New Roman"/>
          <w:color w:val="000000"/>
        </w:rPr>
        <w:t>对评标委员会成员的纪律要求</w:t>
      </w:r>
      <w:bookmarkEnd w:id="327"/>
    </w:p>
    <w:p>
      <w:pPr>
        <w:spacing w:line="400" w:lineRule="exact"/>
        <w:ind w:firstLine="420" w:firstLineChars="200"/>
        <w:rPr>
          <w:rFonts w:ascii="Times New Roman" w:hAnsi="Times New Roman"/>
          <w:color w:val="000000"/>
        </w:rPr>
      </w:pPr>
      <w:r>
        <w:rPr>
          <w:rFonts w:ascii="Times New Roman" w:hAnsi="Times New Roman"/>
          <w:color w:val="000000"/>
        </w:rPr>
        <w:t>评标委员会成员不得收受他人的财物或者其他好处，不得向他人透露对投标文件的评审</w:t>
      </w:r>
      <w:bookmarkStart w:id="328" w:name="_Toc13644"/>
      <w:bookmarkStart w:id="329" w:name="_Toc384308253"/>
      <w:bookmarkStart w:id="330" w:name="_Toc352691515"/>
      <w:bookmarkStart w:id="331" w:name="_Toc369531559"/>
      <w:bookmarkStart w:id="332" w:name="_Toc361508628"/>
      <w:r>
        <w:rPr>
          <w:rFonts w:ascii="Times New Roman" w:hAnsi="Times New Roman"/>
          <w:color w:val="000000"/>
        </w:rPr>
        <w:t>和比较、中标候选人</w:t>
      </w:r>
      <w:bookmarkEnd w:id="319"/>
      <w:bookmarkEnd w:id="320"/>
      <w:bookmarkEnd w:id="321"/>
      <w:bookmarkEnd w:id="322"/>
      <w:bookmarkEnd w:id="323"/>
      <w:bookmarkEnd w:id="324"/>
      <w:bookmarkEnd w:id="328"/>
      <w:bookmarkEnd w:id="329"/>
      <w:bookmarkEnd w:id="330"/>
      <w:bookmarkEnd w:id="331"/>
      <w:bookmarkEnd w:id="332"/>
      <w:r>
        <w:rPr>
          <w:rFonts w:ascii="Times New Roman" w:hAnsi="Times New Roman"/>
          <w:color w:val="000000"/>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spacing w:line="240" w:lineRule="auto"/>
        <w:ind w:firstLine="137"/>
        <w:rPr>
          <w:rFonts w:ascii="Times New Roman" w:hAnsi="Times New Roman"/>
          <w:color w:val="000000"/>
        </w:rPr>
      </w:pPr>
      <w:bookmarkStart w:id="333" w:name="_Toc492300406"/>
      <w:r>
        <w:rPr>
          <w:rFonts w:ascii="Times New Roman" w:hAnsi="Times New Roman"/>
          <w:color w:val="000000"/>
        </w:rPr>
        <w:t xml:space="preserve">8.4 </w:t>
      </w:r>
      <w:r>
        <w:rPr>
          <w:rFonts w:hint="eastAsia" w:ascii="Times New Roman" w:hAnsi="Times New Roman"/>
          <w:color w:val="000000"/>
        </w:rPr>
        <w:t>对与评标活动有关的工作人员的纪律要求</w:t>
      </w:r>
      <w:bookmarkEnd w:id="333"/>
    </w:p>
    <w:p>
      <w:pPr>
        <w:spacing w:line="400" w:lineRule="exact"/>
        <w:ind w:firstLine="420" w:firstLineChars="200"/>
        <w:rPr>
          <w:rFonts w:ascii="Times New Roman" w:hAnsi="Times New Roman"/>
          <w:color w:val="000000"/>
        </w:rPr>
      </w:pPr>
      <w:r>
        <w:rPr>
          <w:rFonts w:ascii="Times New Roman" w:hAnsi="Times New Roman"/>
          <w:color w:val="000000"/>
        </w:rPr>
        <w:t>与评标活动有关的工作人员不得收受他人的财物或者其他好处，不得向他人透露对投标文件</w:t>
      </w:r>
      <w:bookmarkStart w:id="334" w:name="_Toc352691516"/>
      <w:bookmarkStart w:id="335" w:name="_Toc152045569"/>
      <w:bookmarkStart w:id="336" w:name="_Toc361508629"/>
      <w:bookmarkStart w:id="337" w:name="_Toc369531560"/>
      <w:bookmarkStart w:id="338" w:name="_Toc144974537"/>
      <w:bookmarkStart w:id="339" w:name="_Toc300834992"/>
      <w:bookmarkStart w:id="340" w:name="_Toc247513993"/>
      <w:bookmarkStart w:id="341" w:name="_Toc152042345"/>
      <w:bookmarkStart w:id="342" w:name="_Toc247527594"/>
      <w:bookmarkStart w:id="343" w:name="_Toc19429"/>
      <w:bookmarkStart w:id="344" w:name="_Toc384308254"/>
      <w:r>
        <w:rPr>
          <w:rFonts w:ascii="Times New Roman" w:hAnsi="Times New Roman"/>
          <w:color w:val="000000"/>
        </w:rPr>
        <w:t>的评审和比较、中标</w:t>
      </w:r>
      <w:bookmarkEnd w:id="334"/>
      <w:bookmarkEnd w:id="335"/>
      <w:bookmarkEnd w:id="336"/>
      <w:bookmarkEnd w:id="337"/>
      <w:bookmarkEnd w:id="338"/>
      <w:bookmarkEnd w:id="339"/>
      <w:bookmarkEnd w:id="340"/>
      <w:bookmarkEnd w:id="341"/>
      <w:bookmarkEnd w:id="342"/>
      <w:bookmarkEnd w:id="343"/>
      <w:bookmarkEnd w:id="344"/>
      <w:r>
        <w:rPr>
          <w:rFonts w:ascii="Times New Roman" w:hAnsi="Times New Roman"/>
          <w:color w:val="000000"/>
        </w:rPr>
        <w:t>候选人的推荐情况以及评标有关的其他情况。在评标活动中，与评标活动有关的工作人员不得擅离职守，影响评标程序正常进行。</w:t>
      </w:r>
    </w:p>
    <w:p>
      <w:pPr>
        <w:pStyle w:val="4"/>
        <w:spacing w:line="240" w:lineRule="auto"/>
        <w:ind w:firstLine="137"/>
        <w:rPr>
          <w:rFonts w:ascii="Times New Roman" w:hAnsi="Times New Roman"/>
          <w:color w:val="000000"/>
        </w:rPr>
      </w:pPr>
      <w:bookmarkStart w:id="345" w:name="_Toc492300407"/>
      <w:r>
        <w:rPr>
          <w:rFonts w:ascii="Times New Roman" w:hAnsi="Times New Roman"/>
          <w:color w:val="000000"/>
        </w:rPr>
        <w:t xml:space="preserve">8.5 </w:t>
      </w:r>
      <w:r>
        <w:rPr>
          <w:rFonts w:hint="eastAsia" w:ascii="Times New Roman" w:hAnsi="Times New Roman"/>
          <w:color w:val="000000"/>
        </w:rPr>
        <w:t>投诉</w:t>
      </w:r>
      <w:bookmarkEnd w:id="345"/>
    </w:p>
    <w:p>
      <w:pPr>
        <w:spacing w:line="400" w:lineRule="exact"/>
        <w:ind w:firstLine="420" w:firstLineChars="200"/>
        <w:rPr>
          <w:rFonts w:ascii="Times New Roman" w:hAnsi="Times New Roman"/>
          <w:color w:val="000000"/>
        </w:rPr>
      </w:pPr>
      <w:r>
        <w:rPr>
          <w:rFonts w:ascii="Times New Roman" w:hAnsi="Times New Roman"/>
          <w:color w:val="000000"/>
        </w:rPr>
        <w:t>8.5.1 投标人或者其他利害关系人认为招标投标活动不符合法律、行政法规规定的，可以自知道或者应当知道之日起10日内向有关行政监督部门投诉。投诉应当有明确的请求和必要的证明材料。</w:t>
      </w:r>
    </w:p>
    <w:p>
      <w:pPr>
        <w:spacing w:line="400" w:lineRule="exact"/>
        <w:ind w:firstLine="420" w:firstLineChars="200"/>
        <w:rPr>
          <w:rFonts w:ascii="Times New Roman" w:hAnsi="Times New Roman"/>
          <w:color w:val="000000"/>
        </w:rPr>
      </w:pPr>
      <w:r>
        <w:rPr>
          <w:rFonts w:ascii="Times New Roman" w:hAnsi="Times New Roman"/>
          <w:color w:val="000000"/>
        </w:rPr>
        <w:t>8.5.2 投标人或者其他利害关系人对招标文件、开标和评标结果提出投诉的，应当按照投标人须知第2.4款、第5.3款和第7.2款的规定先向招标人提出异议。异议答复期间</w:t>
      </w:r>
      <w:bookmarkStart w:id="346" w:name="_Toc369531561"/>
      <w:bookmarkStart w:id="347" w:name="_Toc152042346"/>
      <w:bookmarkStart w:id="348" w:name="_Toc361508630"/>
      <w:bookmarkStart w:id="349" w:name="_Toc384308255"/>
      <w:bookmarkStart w:id="350" w:name="_Toc247513994"/>
      <w:bookmarkStart w:id="351" w:name="_Toc352691517"/>
      <w:bookmarkStart w:id="352" w:name="_Toc300834993"/>
      <w:bookmarkStart w:id="353" w:name="_Toc152045570"/>
      <w:bookmarkStart w:id="354" w:name="_Toc144974538"/>
      <w:bookmarkStart w:id="355" w:name="_Toc12776"/>
      <w:bookmarkStart w:id="356" w:name="_Toc247527595"/>
      <w:r>
        <w:rPr>
          <w:rFonts w:ascii="Times New Roman" w:hAnsi="Times New Roman"/>
          <w:color w:val="000000"/>
        </w:rPr>
        <w:t>不计算在第8.5.</w:t>
      </w:r>
      <w:bookmarkEnd w:id="346"/>
      <w:bookmarkEnd w:id="347"/>
      <w:bookmarkEnd w:id="348"/>
      <w:bookmarkEnd w:id="349"/>
      <w:bookmarkEnd w:id="350"/>
      <w:bookmarkEnd w:id="351"/>
      <w:bookmarkEnd w:id="352"/>
      <w:bookmarkEnd w:id="353"/>
      <w:bookmarkEnd w:id="354"/>
      <w:bookmarkEnd w:id="355"/>
      <w:bookmarkEnd w:id="356"/>
      <w:r>
        <w:rPr>
          <w:rFonts w:ascii="Times New Roman" w:hAnsi="Times New Roman"/>
          <w:color w:val="000000"/>
        </w:rPr>
        <w:t>1项规定的期限内。</w:t>
      </w:r>
    </w:p>
    <w:p>
      <w:pPr>
        <w:pStyle w:val="2"/>
        <w:rPr>
          <w:color w:val="000000"/>
        </w:rPr>
      </w:pPr>
      <w:bookmarkStart w:id="357" w:name="_Toc492300416"/>
      <w:r>
        <w:rPr>
          <w:rFonts w:hint="eastAsia"/>
          <w:color w:val="000000"/>
        </w:rPr>
        <w:t>评标办法</w:t>
      </w:r>
      <w:r>
        <w:rPr>
          <w:rFonts w:hint="eastAsia"/>
        </w:rPr>
        <w:t>（综合评估法）</w:t>
      </w:r>
      <w:bookmarkEnd w:id="357"/>
    </w:p>
    <w:p>
      <w:pPr>
        <w:pStyle w:val="3"/>
        <w:rPr>
          <w:rFonts w:ascii="Times New Roman" w:hAnsi="Times New Roman"/>
          <w:color w:val="000000"/>
        </w:rPr>
      </w:pPr>
      <w:bookmarkStart w:id="358" w:name="_Toc492300417"/>
      <w:r>
        <w:rPr>
          <w:rFonts w:hint="eastAsia" w:ascii="Times New Roman" w:hAnsi="Times New Roman"/>
          <w:color w:val="000000"/>
        </w:rPr>
        <w:t>评标办法前附表</w:t>
      </w:r>
      <w:bookmarkEnd w:id="358"/>
    </w:p>
    <w:tbl>
      <w:tblPr>
        <w:tblStyle w:val="43"/>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条款号</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评审因素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6" w:hRule="atLeast"/>
        </w:trPr>
        <w:tc>
          <w:tcPr>
            <w:tcW w:w="9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w:t>
            </w:r>
          </w:p>
        </w:tc>
        <w:tc>
          <w:tcPr>
            <w:tcW w:w="11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评标方法</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中标候选人排序方法</w:t>
            </w:r>
          </w:p>
        </w:tc>
        <w:tc>
          <w:tcPr>
            <w:tcW w:w="4680" w:type="dxa"/>
            <w:tcBorders>
              <w:top w:val="single" w:color="auto" w:sz="4" w:space="0"/>
              <w:left w:val="single" w:color="auto" w:sz="4" w:space="0"/>
              <w:bottom w:val="single" w:color="auto" w:sz="4" w:space="0"/>
              <w:right w:val="single" w:color="auto" w:sz="4" w:space="0"/>
            </w:tcBorders>
          </w:tcPr>
          <w:p>
            <w:pPr>
              <w:spacing w:line="440" w:lineRule="exact"/>
              <w:jc w:val="left"/>
              <w:rPr>
                <w:rFonts w:ascii="Times New Roman" w:hAnsi="Times New Roman"/>
                <w:color w:val="000000"/>
              </w:rPr>
            </w:pPr>
            <w:r>
              <w:rPr>
                <w:rFonts w:hint="eastAsia" w:ascii="Times New Roman" w:hAnsi="Times New Roman"/>
                <w:color w:val="000000"/>
              </w:rPr>
              <w:t>各评委打分的平均值（保留小数点后二位）为各投标单位的最终得分，由高分到低分向招标人推荐3名中标候选人（得分相同时，报价低者优先推荐；若得分相同，报价也相同，则现场抽签确定顺序）。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2.1.1</w:t>
            </w:r>
          </w:p>
        </w:tc>
        <w:tc>
          <w:tcPr>
            <w:tcW w:w="1124" w:type="dxa"/>
            <w:vMerge w:val="restart"/>
            <w:tcBorders>
              <w:top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形式评审标准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投标人名称</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rPr>
            </w:pPr>
          </w:p>
        </w:tc>
        <w:tc>
          <w:tcPr>
            <w:tcW w:w="1124" w:type="dxa"/>
            <w:vMerge w:val="continue"/>
            <w:tcBorders>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投标函</w:t>
            </w:r>
            <w:r>
              <w:rPr>
                <w:rFonts w:hint="eastAsia" w:ascii="Times New Roman" w:hAnsi="Times New Roman"/>
                <w:color w:val="000000"/>
              </w:rPr>
              <w:t>及投标函附录</w:t>
            </w:r>
            <w:r>
              <w:rPr>
                <w:rFonts w:ascii="Times New Roman" w:hAnsi="Times New Roman"/>
                <w:color w:val="000000"/>
              </w:rPr>
              <w:t>签字盖章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有法定代表人</w:t>
            </w:r>
            <w:bookmarkStart w:id="359" w:name="_Toc361508643"/>
            <w:bookmarkStart w:id="360" w:name="_Toc152042361"/>
            <w:bookmarkStart w:id="361" w:name="_Toc352691530"/>
            <w:bookmarkStart w:id="362" w:name="_Toc247527609"/>
            <w:bookmarkStart w:id="363" w:name="_Toc247514008"/>
            <w:bookmarkStart w:id="364" w:name="_Toc6546"/>
            <w:bookmarkStart w:id="365" w:name="_Toc144974551"/>
            <w:bookmarkStart w:id="366" w:name="_Toc369531574"/>
            <w:bookmarkStart w:id="367" w:name="_Toc152045584"/>
            <w:bookmarkStart w:id="368" w:name="_Toc384308269"/>
            <w:bookmarkStart w:id="369" w:name="_Toc300835005"/>
            <w:r>
              <w:rPr>
                <w:rFonts w:ascii="Times New Roman" w:hAnsi="Times New Roman"/>
                <w:color w:val="000000"/>
              </w:rPr>
              <w:t>或其委托</w:t>
            </w:r>
            <w:bookmarkEnd w:id="359"/>
            <w:bookmarkEnd w:id="360"/>
            <w:bookmarkEnd w:id="361"/>
            <w:bookmarkEnd w:id="362"/>
            <w:bookmarkEnd w:id="363"/>
            <w:bookmarkEnd w:id="364"/>
            <w:bookmarkEnd w:id="365"/>
            <w:bookmarkEnd w:id="366"/>
            <w:bookmarkEnd w:id="367"/>
            <w:bookmarkEnd w:id="368"/>
            <w:bookmarkEnd w:id="369"/>
            <w:r>
              <w:rPr>
                <w:rFonts w:ascii="Times New Roman" w:hAnsi="Times New Roman"/>
                <w:color w:val="000000"/>
              </w:rPr>
              <w:t>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rPr>
            </w:pPr>
          </w:p>
        </w:tc>
        <w:tc>
          <w:tcPr>
            <w:tcW w:w="1124" w:type="dxa"/>
            <w:vMerge w:val="continue"/>
            <w:tcBorders>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投标文件格式</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w:t>
            </w:r>
            <w:r>
              <w:rPr>
                <w:rFonts w:hint="eastAsia" w:ascii="Times New Roman" w:hAnsi="Times New Roman"/>
                <w:color w:val="000000"/>
              </w:rPr>
              <w:t>七</w:t>
            </w:r>
            <w:r>
              <w:rPr>
                <w:rFonts w:ascii="Times New Roman" w:hAnsi="Times New Roman"/>
                <w:color w:val="000000"/>
              </w:rPr>
              <w:t>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2.1.2</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资格评审标准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营业执照和组织机构代码证</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w:t>
            </w:r>
            <w:r>
              <w:rPr>
                <w:rFonts w:hint="eastAsia" w:ascii="Times New Roman" w:hAnsi="Times New Roman"/>
                <w:color w:val="000000"/>
              </w:rPr>
              <w:t>二</w:t>
            </w:r>
            <w:r>
              <w:rPr>
                <w:rFonts w:ascii="Times New Roman" w:hAnsi="Times New Roman"/>
                <w:color w:val="000000"/>
              </w:rPr>
              <w:t>章“投标人须知”第3.5.1项规定，具备有效的营业执照和组织机构代码证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资质要求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财务要求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业绩要求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信誉要求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项目负责人</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hint="eastAsia" w:ascii="Times New Roman" w:hAnsi="Times New Roman"/>
                <w:color w:val="000000"/>
              </w:rPr>
              <w:t>其他主要人员</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其他要求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联合体投标人</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不存在禁止投标的情形</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2.1.3</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响应性评审标准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投标报价</w:t>
            </w:r>
          </w:p>
        </w:tc>
        <w:tc>
          <w:tcPr>
            <w:tcW w:w="4680" w:type="dxa"/>
            <w:tcBorders>
              <w:top w:val="single" w:color="auto" w:sz="4" w:space="0"/>
              <w:left w:val="single" w:color="auto" w:sz="4" w:space="0"/>
              <w:bottom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投标内容</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设计服务期限</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hint="eastAsia" w:ascii="Times New Roman" w:hAnsi="Times New Roman"/>
                <w:color w:val="000000"/>
              </w:rPr>
              <w:t>质量标准</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w:t>
            </w:r>
            <w:r>
              <w:rPr>
                <w:rFonts w:hint="eastAsia" w:ascii="Times New Roman" w:hAnsi="Times New Roman"/>
                <w:color w:val="000000"/>
              </w:rPr>
              <w:t>3</w:t>
            </w:r>
            <w:r>
              <w:rPr>
                <w:rFonts w:ascii="Times New Roman" w:hAnsi="Times New Roman"/>
                <w:color w:val="000000"/>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color w:val="000000"/>
              </w:rPr>
            </w:pPr>
            <w:r>
              <w:rPr>
                <w:rFonts w:ascii="Times New Roman" w:hAnsi="Times New Roman"/>
                <w:color w:val="000000"/>
              </w:rPr>
              <w:t>投标</w:t>
            </w:r>
            <w:r>
              <w:rPr>
                <w:rFonts w:ascii="Times New Roman" w:hAnsi="Times New Roman"/>
              </w:rPr>
              <w:t>有效期</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color w:val="000000"/>
              </w:rPr>
              <w:t>符合第二章“投标人须知”第3.</w:t>
            </w:r>
            <w:r>
              <w:rPr>
                <w:rFonts w:ascii="Times New Roman" w:hAnsi="Times New Roman"/>
              </w:rPr>
              <w:t>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rPr>
            </w:pPr>
            <w:r>
              <w:rPr>
                <w:rFonts w:ascii="Times New Roman" w:hAnsi="Times New Roman"/>
              </w:rPr>
              <w:t>投标保证金</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rPr>
              <w:t>符合第二章“投标人须知”第3.4</w:t>
            </w:r>
            <w:r>
              <w:rPr>
                <w:rFonts w:hint="eastAsia" w:ascii="Times New Roman" w:hAnsi="Times New Roman"/>
              </w:rPr>
              <w:t>.1项</w:t>
            </w:r>
            <w:r>
              <w:rPr>
                <w:rFonts w:ascii="Times New Roman" w:hAnsi="Times New Roma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rPr>
            </w:pPr>
            <w:r>
              <w:rPr>
                <w:rFonts w:ascii="Times New Roman" w:hAnsi="Times New Roman"/>
              </w:rPr>
              <w:t>权利义务</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rPr>
              <w:t>符合第二章“投标人须知”</w:t>
            </w:r>
            <w:r>
              <w:rPr>
                <w:rFonts w:hint="eastAsia" w:ascii="Times New Roman" w:hAnsi="Times New Roman"/>
              </w:rPr>
              <w:t>第1.12.1项规定和</w:t>
            </w:r>
            <w:r>
              <w:rPr>
                <w:rFonts w:ascii="Times New Roman" w:hAnsi="Times New Roman"/>
              </w:rPr>
              <w:t>第四章“合同条款及格式”中的</w:t>
            </w:r>
            <w:r>
              <w:rPr>
                <w:rFonts w:ascii="Times New Roman" w:hAnsi="Times New Roman"/>
                <w:color w:val="000000"/>
              </w:rPr>
              <w:t>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rPr>
            </w:pPr>
            <w:r>
              <w:rPr>
                <w:rFonts w:ascii="Times New Roman" w:hAnsi="Times New Roman"/>
              </w:rPr>
              <w:t>设计方案</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rPr>
              <w:t>符合第六章“发包人要求”中的实质性要求和条件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条款号</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条款内容</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2.2.1</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分值构成</w:t>
            </w:r>
          </w:p>
          <w:p>
            <w:pPr>
              <w:spacing w:line="440" w:lineRule="exact"/>
              <w:jc w:val="center"/>
              <w:rPr>
                <w:rFonts w:ascii="Times New Roman" w:hAnsi="Times New Roman"/>
                <w:color w:val="000000"/>
              </w:rPr>
            </w:pPr>
            <w:r>
              <w:rPr>
                <w:rFonts w:ascii="Times New Roman" w:hAnsi="Times New Roman"/>
                <w:color w:val="000000"/>
              </w:rPr>
              <w:t>(总分100分)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yellow"/>
              </w:rPr>
            </w:pPr>
            <w:r>
              <w:rPr>
                <w:rFonts w:ascii="Times New Roman" w:hAnsi="Times New Roman"/>
                <w:color w:val="000000"/>
                <w:highlight w:val="yellow"/>
              </w:rPr>
              <w:t>设计方案部分：</w:t>
            </w:r>
            <w:r>
              <w:rPr>
                <w:rFonts w:ascii="Times New Roman" w:hAnsi="Times New Roman"/>
                <w:color w:val="000000"/>
                <w:highlight w:val="yellow"/>
                <w:u w:val="single"/>
              </w:rPr>
              <w:t xml:space="preserve">  40 </w:t>
            </w:r>
            <w:r>
              <w:rPr>
                <w:rFonts w:hint="eastAsia" w:ascii="Times New Roman" w:hAnsi="Times New Roman"/>
                <w:color w:val="000000"/>
                <w:highlight w:val="yellow"/>
                <w:u w:val="single"/>
                <w:lang w:val="en-US" w:eastAsia="zh-CN"/>
              </w:rPr>
              <w:t xml:space="preserve">  </w:t>
            </w:r>
            <w:r>
              <w:rPr>
                <w:rFonts w:ascii="Times New Roman" w:hAnsi="Times New Roman"/>
                <w:color w:val="000000"/>
                <w:highlight w:val="yellow"/>
                <w:u w:val="single"/>
              </w:rPr>
              <w:t xml:space="preserve"> </w:t>
            </w:r>
            <w:r>
              <w:rPr>
                <w:rFonts w:ascii="Times New Roman" w:hAnsi="Times New Roman"/>
                <w:color w:val="000000"/>
                <w:highlight w:val="yellow"/>
              </w:rPr>
              <w:t>分</w:t>
            </w:r>
          </w:p>
          <w:p>
            <w:pPr>
              <w:spacing w:line="440" w:lineRule="exact"/>
              <w:rPr>
                <w:rFonts w:ascii="Times New Roman" w:hAnsi="Times New Roman"/>
                <w:color w:val="000000"/>
                <w:highlight w:val="yellow"/>
              </w:rPr>
            </w:pPr>
            <w:r>
              <w:rPr>
                <w:rFonts w:ascii="Times New Roman" w:hAnsi="Times New Roman"/>
                <w:color w:val="000000"/>
                <w:highlight w:val="yellow"/>
              </w:rPr>
              <w:t>资信业绩部分：</w:t>
            </w:r>
            <w:r>
              <w:rPr>
                <w:rFonts w:ascii="Times New Roman" w:hAnsi="Times New Roman"/>
                <w:color w:val="000000"/>
                <w:highlight w:val="yellow"/>
                <w:u w:val="single"/>
              </w:rPr>
              <w:t xml:space="preserve">  </w:t>
            </w:r>
            <w:r>
              <w:rPr>
                <w:rFonts w:hint="eastAsia" w:ascii="Times New Roman" w:hAnsi="Times New Roman"/>
                <w:color w:val="000000"/>
                <w:highlight w:val="yellow"/>
                <w:u w:val="single"/>
                <w:lang w:val="en-US" w:eastAsia="zh-CN"/>
              </w:rPr>
              <w:t>2</w:t>
            </w:r>
            <w:r>
              <w:rPr>
                <w:rFonts w:ascii="Times New Roman" w:hAnsi="Times New Roman"/>
                <w:color w:val="000000"/>
                <w:highlight w:val="yellow"/>
                <w:u w:val="single"/>
              </w:rPr>
              <w:t xml:space="preserve">0    </w:t>
            </w:r>
            <w:r>
              <w:rPr>
                <w:rFonts w:ascii="Times New Roman" w:hAnsi="Times New Roman"/>
                <w:color w:val="000000"/>
                <w:highlight w:val="yellow"/>
              </w:rPr>
              <w:t>分</w:t>
            </w:r>
          </w:p>
          <w:p>
            <w:pPr>
              <w:spacing w:line="440" w:lineRule="exact"/>
              <w:rPr>
                <w:rFonts w:hint="eastAsia" w:ascii="Times New Roman" w:hAnsi="Times New Roman" w:eastAsia="宋体"/>
                <w:color w:val="000000"/>
                <w:highlight w:val="yellow"/>
                <w:lang w:val="en-US" w:eastAsia="zh-CN"/>
              </w:rPr>
            </w:pPr>
            <w:r>
              <w:rPr>
                <w:rFonts w:hint="eastAsia" w:ascii="Times New Roman" w:hAnsi="Times New Roman"/>
                <w:color w:val="000000"/>
                <w:highlight w:val="yellow"/>
                <w:lang w:val="en-US" w:eastAsia="zh-CN"/>
              </w:rPr>
              <w:t>项目人员组成：</w:t>
            </w:r>
            <w:r>
              <w:rPr>
                <w:rFonts w:ascii="Times New Roman" w:hAnsi="Times New Roman"/>
                <w:color w:val="000000"/>
                <w:highlight w:val="yellow"/>
                <w:u w:val="single"/>
              </w:rPr>
              <w:t xml:space="preserve">  </w:t>
            </w:r>
            <w:r>
              <w:rPr>
                <w:rFonts w:hint="eastAsia" w:ascii="Times New Roman" w:hAnsi="Times New Roman"/>
                <w:color w:val="000000"/>
                <w:highlight w:val="yellow"/>
                <w:u w:val="single"/>
                <w:lang w:val="en-US" w:eastAsia="zh-CN"/>
              </w:rPr>
              <w:t>10</w:t>
            </w:r>
            <w:r>
              <w:rPr>
                <w:rFonts w:ascii="Times New Roman" w:hAnsi="Times New Roman"/>
                <w:color w:val="000000"/>
                <w:highlight w:val="yellow"/>
                <w:u w:val="single"/>
              </w:rPr>
              <w:t xml:space="preserve">    </w:t>
            </w:r>
            <w:r>
              <w:rPr>
                <w:rFonts w:ascii="Times New Roman" w:hAnsi="Times New Roman"/>
                <w:color w:val="000000"/>
                <w:highlight w:val="yellow"/>
              </w:rPr>
              <w:t>分</w:t>
            </w:r>
          </w:p>
          <w:p>
            <w:pPr>
              <w:spacing w:line="440" w:lineRule="exact"/>
              <w:rPr>
                <w:rFonts w:hint="eastAsia" w:ascii="Times New Roman" w:hAnsi="Times New Roman"/>
                <w:color w:val="000000"/>
                <w:highlight w:val="yellow"/>
              </w:rPr>
            </w:pPr>
            <w:r>
              <w:rPr>
                <w:rFonts w:ascii="Times New Roman" w:hAnsi="Times New Roman"/>
                <w:highlight w:val="yellow"/>
              </w:rPr>
              <w:t>投标报价</w:t>
            </w:r>
            <w:r>
              <w:rPr>
                <w:rFonts w:ascii="Times New Roman" w:hAnsi="Times New Roman"/>
                <w:color w:val="000000"/>
                <w:highlight w:val="yellow"/>
              </w:rPr>
              <w:t>：</w:t>
            </w:r>
            <w:r>
              <w:rPr>
                <w:rFonts w:ascii="Times New Roman" w:hAnsi="Times New Roman"/>
                <w:color w:val="000000"/>
                <w:highlight w:val="yellow"/>
                <w:u w:val="single"/>
              </w:rPr>
              <w:t xml:space="preserve">  30     </w:t>
            </w:r>
            <w:r>
              <w:rPr>
                <w:rFonts w:ascii="Times New Roman" w:hAnsi="Times New Roman"/>
                <w:color w:val="000000"/>
                <w:highlight w:val="yellow"/>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2.2.2</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评标基准价计算方法</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highlight w:val="yellow"/>
              </w:rPr>
              <w:t>各有效投标价的算术平均值</w:t>
            </w:r>
            <w:r>
              <w:rPr>
                <w:rFonts w:hint="eastAsia" w:ascii="Times New Roman" w:hAnsi="Times New Roman"/>
                <w:color w:val="000000"/>
                <w:highlight w:val="yellow"/>
                <w:lang w:val="en-US" w:eastAsia="zh-CN"/>
              </w:rPr>
              <w:t>的95%</w:t>
            </w:r>
            <w:r>
              <w:rPr>
                <w:rFonts w:ascii="Times New Roman" w:hAnsi="Times New Roman"/>
                <w:color w:val="000000"/>
                <w:highlight w:val="yellow"/>
              </w:rPr>
              <w:t>作为基准价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2" w:hRule="atLeast"/>
        </w:trPr>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2.2.3</w:t>
            </w:r>
          </w:p>
        </w:tc>
        <w:tc>
          <w:tcPr>
            <w:tcW w:w="2476" w:type="dxa"/>
            <w:tcBorders>
              <w:top w:val="single" w:color="auto" w:sz="4" w:space="0"/>
              <w:left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投标报价的偏差率</w:t>
            </w:r>
          </w:p>
          <w:p>
            <w:pPr>
              <w:spacing w:line="440" w:lineRule="exact"/>
              <w:jc w:val="center"/>
              <w:rPr>
                <w:rFonts w:ascii="Times New Roman" w:hAnsi="Times New Roman"/>
                <w:color w:val="000000"/>
              </w:rPr>
            </w:pPr>
            <w:r>
              <w:rPr>
                <w:rFonts w:ascii="Times New Roman" w:hAnsi="Times New Roman"/>
                <w:color w:val="000000"/>
              </w:rPr>
              <w:t>计算公式</w:t>
            </w:r>
          </w:p>
        </w:tc>
        <w:tc>
          <w:tcPr>
            <w:tcW w:w="4680" w:type="dxa"/>
            <w:tcBorders>
              <w:top w:val="single" w:color="auto" w:sz="4" w:space="0"/>
              <w:left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highlight w:val="yellow"/>
              </w:rPr>
              <w:t>投标人的投标报价</w:t>
            </w:r>
            <w:r>
              <w:rPr>
                <w:rFonts w:hint="eastAsia" w:ascii="Times New Roman" w:hAnsi="Times New Roman"/>
                <w:color w:val="000000"/>
                <w:highlight w:val="yellow"/>
                <w:lang w:val="en-US" w:eastAsia="zh-CN"/>
              </w:rPr>
              <w:t>等于基准价时得30分，</w:t>
            </w:r>
            <w:r>
              <w:rPr>
                <w:rFonts w:ascii="Times New Roman" w:hAnsi="Times New Roman"/>
                <w:color w:val="000000"/>
                <w:highlight w:val="yellow"/>
              </w:rPr>
              <w:t>每高</w:t>
            </w:r>
            <w:r>
              <w:rPr>
                <w:rFonts w:hint="eastAsia" w:ascii="Times New Roman" w:hAnsi="Times New Roman"/>
                <w:color w:val="000000"/>
                <w:highlight w:val="yellow"/>
                <w:lang w:val="en-US" w:eastAsia="zh-CN"/>
              </w:rPr>
              <w:t>于基准价</w:t>
            </w:r>
            <w:r>
              <w:rPr>
                <w:rFonts w:ascii="Times New Roman" w:hAnsi="Times New Roman"/>
                <w:color w:val="000000"/>
                <w:highlight w:val="yellow"/>
              </w:rPr>
              <w:t>的</w:t>
            </w:r>
            <w:r>
              <w:rPr>
                <w:rFonts w:hint="eastAsia" w:ascii="Times New Roman" w:hAnsi="Times New Roman"/>
                <w:color w:val="000000"/>
                <w:highlight w:val="yellow"/>
              </w:rPr>
              <w:t>1%的扣</w:t>
            </w:r>
            <w:r>
              <w:rPr>
                <w:rFonts w:hint="eastAsia" w:ascii="Times New Roman" w:hAnsi="Times New Roman"/>
                <w:color w:val="000000"/>
                <w:highlight w:val="yellow"/>
                <w:lang w:val="en-US" w:eastAsia="zh-CN"/>
              </w:rPr>
              <w:t>0.4</w:t>
            </w:r>
            <w:r>
              <w:rPr>
                <w:rFonts w:hint="eastAsia" w:ascii="Times New Roman" w:hAnsi="Times New Roman"/>
                <w:color w:val="000000"/>
                <w:highlight w:val="yellow"/>
              </w:rPr>
              <w:t>分，每低于基准价1%扣0.</w:t>
            </w:r>
            <w:r>
              <w:rPr>
                <w:rFonts w:hint="eastAsia" w:ascii="Times New Roman" w:hAnsi="Times New Roman"/>
                <w:color w:val="000000"/>
                <w:highlight w:val="yellow"/>
                <w:lang w:val="en-US" w:eastAsia="zh-CN"/>
              </w:rPr>
              <w:t>2</w:t>
            </w:r>
            <w:r>
              <w:rPr>
                <w:rFonts w:hint="eastAsia" w:ascii="Times New Roman" w:hAnsi="Times New Roman"/>
                <w:color w:val="000000"/>
                <w:highlight w:val="yellow"/>
              </w:rPr>
              <w:t>分（采用插入法，保留小数点后两位）。</w:t>
            </w:r>
          </w:p>
        </w:tc>
      </w:tr>
    </w:tbl>
    <w:p>
      <w:pPr>
        <w:rPr>
          <w:rFonts w:ascii="Times New Roman" w:hAnsi="Times New Roman"/>
        </w:rPr>
      </w:pPr>
      <w:r>
        <w:rPr>
          <w:rFonts w:ascii="Times New Roman" w:hAnsi="Times New Roman"/>
        </w:rPr>
        <w:br w:type="page"/>
      </w:r>
    </w:p>
    <w:tbl>
      <w:tblPr>
        <w:tblStyle w:val="43"/>
        <w:tblW w:w="10425" w:type="dxa"/>
        <w:jc w:val="center"/>
        <w:tblInd w:w="0" w:type="dxa"/>
        <w:tblLayout w:type="fixed"/>
        <w:tblCellMar>
          <w:top w:w="0" w:type="dxa"/>
          <w:left w:w="0" w:type="dxa"/>
          <w:bottom w:w="0" w:type="dxa"/>
          <w:right w:w="0" w:type="dxa"/>
        </w:tblCellMar>
      </w:tblPr>
      <w:tblGrid>
        <w:gridCol w:w="1118"/>
        <w:gridCol w:w="1185"/>
        <w:gridCol w:w="7372"/>
        <w:gridCol w:w="750"/>
      </w:tblGrid>
      <w:tr>
        <w:tblPrEx>
          <w:tblLayout w:type="fixed"/>
          <w:tblCellMar>
            <w:top w:w="0" w:type="dxa"/>
            <w:left w:w="0" w:type="dxa"/>
            <w:bottom w:w="0" w:type="dxa"/>
            <w:right w:w="0" w:type="dxa"/>
          </w:tblCellMar>
        </w:tblPrEx>
        <w:trPr>
          <w:trHeight w:val="421" w:hRule="atLeast"/>
          <w:jc w:val="center"/>
        </w:trPr>
        <w:tc>
          <w:tcPr>
            <w:tcW w:w="11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宋体"/>
                <w:sz w:val="24"/>
              </w:rPr>
            </w:pPr>
            <w:r>
              <w:rPr>
                <w:rFonts w:hint="eastAsia" w:ascii="宋体" w:hAnsi="宋体" w:cs="宋体"/>
                <w:sz w:val="24"/>
              </w:rPr>
              <w:t>评审项目</w:t>
            </w:r>
          </w:p>
        </w:tc>
        <w:tc>
          <w:tcPr>
            <w:tcW w:w="1185" w:type="dxa"/>
            <w:tcBorders>
              <w:top w:val="single" w:color="auto" w:sz="4" w:space="0"/>
              <w:left w:val="nil"/>
              <w:bottom w:val="single" w:color="auto" w:sz="4" w:space="0"/>
              <w:right w:val="single" w:color="auto" w:sz="4" w:space="0"/>
            </w:tcBorders>
            <w:vAlign w:val="center"/>
          </w:tcPr>
          <w:p>
            <w:pPr>
              <w:spacing w:line="0" w:lineRule="atLeast"/>
              <w:jc w:val="center"/>
              <w:rPr>
                <w:rFonts w:ascii="宋体" w:hAnsi="宋体" w:cs="宋体"/>
                <w:sz w:val="24"/>
              </w:rPr>
            </w:pPr>
            <w:r>
              <w:rPr>
                <w:rFonts w:hint="eastAsia" w:ascii="宋体" w:hAnsi="宋体" w:cs="宋体"/>
                <w:sz w:val="24"/>
              </w:rPr>
              <w:t>评审因素</w:t>
            </w:r>
          </w:p>
        </w:tc>
        <w:tc>
          <w:tcPr>
            <w:tcW w:w="7372" w:type="dxa"/>
            <w:tcBorders>
              <w:top w:val="single" w:color="auto" w:sz="4" w:space="0"/>
              <w:left w:val="nil"/>
              <w:bottom w:val="single" w:color="auto" w:sz="4" w:space="0"/>
              <w:right w:val="single" w:color="auto" w:sz="4" w:space="0"/>
            </w:tcBorders>
            <w:vAlign w:val="center"/>
          </w:tcPr>
          <w:p>
            <w:pPr>
              <w:spacing w:line="0" w:lineRule="atLeast"/>
              <w:ind w:firstLine="360" w:firstLineChars="150"/>
              <w:jc w:val="center"/>
              <w:rPr>
                <w:rFonts w:ascii="宋体" w:hAnsi="宋体" w:cs="宋体"/>
                <w:sz w:val="24"/>
              </w:rPr>
            </w:pPr>
            <w:r>
              <w:rPr>
                <w:rFonts w:hint="eastAsia" w:ascii="宋体" w:hAnsi="宋体" w:cs="宋体"/>
                <w:sz w:val="24"/>
              </w:rPr>
              <w:t>评分标准</w:t>
            </w:r>
          </w:p>
        </w:tc>
        <w:tc>
          <w:tcPr>
            <w:tcW w:w="750" w:type="dxa"/>
            <w:tcBorders>
              <w:top w:val="single" w:color="auto" w:sz="4" w:space="0"/>
              <w:left w:val="nil"/>
              <w:bottom w:val="single" w:color="auto" w:sz="4" w:space="0"/>
              <w:right w:val="single" w:color="auto" w:sz="4" w:space="0"/>
            </w:tcBorders>
            <w:vAlign w:val="center"/>
          </w:tcPr>
          <w:p>
            <w:pPr>
              <w:spacing w:line="0" w:lineRule="atLeast"/>
              <w:jc w:val="center"/>
              <w:rPr>
                <w:rFonts w:ascii="宋体" w:hAnsi="宋体" w:cs="宋体"/>
                <w:sz w:val="24"/>
              </w:rPr>
            </w:pPr>
            <w:r>
              <w:rPr>
                <w:rFonts w:hint="eastAsia" w:ascii="宋体" w:hAnsi="宋体" w:cs="宋体"/>
                <w:sz w:val="24"/>
              </w:rPr>
              <w:t>分值</w:t>
            </w:r>
          </w:p>
        </w:tc>
      </w:tr>
      <w:tr>
        <w:tblPrEx>
          <w:tblLayout w:type="fixed"/>
          <w:tblCellMar>
            <w:top w:w="0" w:type="dxa"/>
            <w:left w:w="0" w:type="dxa"/>
            <w:bottom w:w="0" w:type="dxa"/>
            <w:right w:w="0" w:type="dxa"/>
          </w:tblCellMar>
        </w:tblPrEx>
        <w:trPr>
          <w:trHeight w:val="2005" w:hRule="atLeast"/>
          <w:jc w:val="center"/>
        </w:trPr>
        <w:tc>
          <w:tcPr>
            <w:tcW w:w="11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宋体"/>
                <w:sz w:val="24"/>
              </w:rPr>
            </w:pPr>
            <w:r>
              <w:rPr>
                <w:rFonts w:hint="eastAsia" w:ascii="宋体" w:hAnsi="宋体" w:cs="宋体"/>
                <w:sz w:val="24"/>
                <w:lang w:val="en-US" w:eastAsia="zh-CN"/>
              </w:rPr>
              <w:t>设计方案</w:t>
            </w:r>
            <w:r>
              <w:rPr>
                <w:rFonts w:hint="eastAsia" w:ascii="宋体" w:hAnsi="宋体" w:cs="宋体"/>
                <w:sz w:val="24"/>
              </w:rPr>
              <w:t>部分（</w:t>
            </w:r>
            <w:r>
              <w:rPr>
                <w:rFonts w:hint="eastAsia" w:ascii="宋体" w:hAnsi="宋体" w:cs="宋体"/>
                <w:sz w:val="24"/>
                <w:lang w:val="en-US" w:eastAsia="zh-CN"/>
              </w:rPr>
              <w:t>4</w:t>
            </w:r>
            <w:r>
              <w:rPr>
                <w:rFonts w:hint="eastAsia" w:ascii="宋体" w:hAnsi="宋体" w:cs="宋体"/>
                <w:sz w:val="24"/>
              </w:rPr>
              <w:t>0分）</w:t>
            </w:r>
          </w:p>
        </w:tc>
        <w:tc>
          <w:tcPr>
            <w:tcW w:w="1185" w:type="dxa"/>
            <w:tcBorders>
              <w:top w:val="nil"/>
              <w:left w:val="nil"/>
              <w:right w:val="single" w:color="auto" w:sz="4" w:space="0"/>
            </w:tcBorders>
            <w:vAlign w:val="center"/>
          </w:tcPr>
          <w:p>
            <w:pPr>
              <w:spacing w:line="0" w:lineRule="atLeast"/>
              <w:jc w:val="center"/>
              <w:rPr>
                <w:rFonts w:ascii="宋体" w:hAnsi="宋体" w:cs="宋体"/>
                <w:bCs/>
                <w:sz w:val="24"/>
              </w:rPr>
            </w:pPr>
            <w:r>
              <w:rPr>
                <w:rFonts w:hint="eastAsia" w:ascii="宋体" w:hAnsi="宋体" w:cs="宋体"/>
                <w:bCs/>
                <w:sz w:val="24"/>
              </w:rPr>
              <w:t>方案设计</w:t>
            </w:r>
          </w:p>
          <w:p>
            <w:pPr>
              <w:spacing w:line="0" w:lineRule="atLeast"/>
              <w:jc w:val="center"/>
              <w:rPr>
                <w:rFonts w:ascii="宋体" w:hAnsi="宋体" w:cs="宋体"/>
                <w:b/>
                <w:sz w:val="24"/>
              </w:rPr>
            </w:pPr>
            <w:r>
              <w:rPr>
                <w:rFonts w:hint="eastAsia" w:ascii="宋体" w:hAnsi="宋体" w:cs="宋体"/>
                <w:bCs/>
                <w:sz w:val="24"/>
              </w:rPr>
              <w:t>（</w:t>
            </w:r>
            <w:r>
              <w:rPr>
                <w:rFonts w:ascii="宋体" w:hAnsi="宋体" w:cs="宋体"/>
                <w:bCs/>
                <w:sz w:val="24"/>
              </w:rPr>
              <w:t>40</w:t>
            </w:r>
            <w:r>
              <w:rPr>
                <w:rFonts w:hint="eastAsia" w:ascii="宋体" w:hAnsi="宋体" w:cs="宋体"/>
                <w:bCs/>
                <w:sz w:val="24"/>
              </w:rPr>
              <w:t>分）</w:t>
            </w:r>
          </w:p>
        </w:tc>
        <w:tc>
          <w:tcPr>
            <w:tcW w:w="7372" w:type="dxa"/>
            <w:tcBorders>
              <w:top w:val="single" w:color="auto" w:sz="4" w:space="0"/>
              <w:left w:val="nil"/>
              <w:right w:val="single" w:color="auto" w:sz="4" w:space="0"/>
            </w:tcBorders>
            <w:vAlign w:val="center"/>
          </w:tcPr>
          <w:p>
            <w:pPr>
              <w:jc w:val="left"/>
              <w:rPr>
                <w:rFonts w:ascii="宋体" w:hAnsi="宋体" w:cs="宋体"/>
                <w:sz w:val="24"/>
              </w:rPr>
            </w:pPr>
            <w:r>
              <w:rPr>
                <w:rFonts w:hint="eastAsia" w:ascii="宋体" w:hAnsi="宋体" w:cs="宋体"/>
                <w:sz w:val="24"/>
              </w:rPr>
              <w:t>对本项目的理解把握准确、智能化设计方案合理、完善、结构清晰，有针对性，方案必须具备以下内容:</w:t>
            </w:r>
          </w:p>
          <w:p>
            <w:pPr>
              <w:jc w:val="left"/>
              <w:rPr>
                <w:rFonts w:ascii="宋体" w:hAnsi="宋体" w:cs="宋体"/>
                <w:sz w:val="24"/>
              </w:rPr>
            </w:pPr>
            <w:r>
              <w:rPr>
                <w:rFonts w:hint="eastAsia" w:ascii="宋体" w:hAnsi="宋体" w:cs="宋体"/>
                <w:sz w:val="24"/>
              </w:rPr>
              <w:t>1、有各系统架构及技术原理在本项目中的应用的详细描述。</w:t>
            </w:r>
          </w:p>
          <w:p>
            <w:pPr>
              <w:jc w:val="left"/>
              <w:rPr>
                <w:rFonts w:ascii="宋体" w:hAnsi="宋体" w:cs="宋体"/>
                <w:sz w:val="24"/>
              </w:rPr>
            </w:pPr>
            <w:r>
              <w:rPr>
                <w:rFonts w:hint="eastAsia" w:ascii="宋体" w:hAnsi="宋体" w:cs="宋体"/>
                <w:sz w:val="24"/>
              </w:rPr>
              <w:t>2、有各系统能够实现的功能的详细描述。</w:t>
            </w:r>
          </w:p>
          <w:p>
            <w:pPr>
              <w:jc w:val="left"/>
              <w:rPr>
                <w:rFonts w:ascii="宋体" w:hAnsi="宋体" w:cs="宋体"/>
                <w:sz w:val="24"/>
              </w:rPr>
            </w:pPr>
            <w:r>
              <w:rPr>
                <w:rFonts w:hint="eastAsia" w:ascii="宋体" w:hAnsi="宋体" w:cs="宋体"/>
                <w:sz w:val="24"/>
              </w:rPr>
              <w:t>3、针对项目特点，技术方案思路清晰，系统整体架构设计先进、合理、规范、可行。</w:t>
            </w:r>
          </w:p>
          <w:p>
            <w:pPr>
              <w:jc w:val="left"/>
              <w:rPr>
                <w:rFonts w:ascii="宋体" w:hAnsi="宋体" w:cs="宋体"/>
                <w:sz w:val="24"/>
              </w:rPr>
            </w:pPr>
            <w:r>
              <w:rPr>
                <w:rFonts w:hint="eastAsia" w:ascii="宋体" w:hAnsi="宋体" w:cs="宋体"/>
                <w:sz w:val="24"/>
              </w:rPr>
              <w:t>4、合理化建议符合客观事实、切合项目，方案深化理由清晰、能给出优化对策、并具备可行性。</w:t>
            </w:r>
          </w:p>
          <w:p>
            <w:pPr>
              <w:jc w:val="left"/>
              <w:rPr>
                <w:rFonts w:ascii="宋体" w:hAnsi="宋体" w:cs="宋体"/>
                <w:bCs/>
                <w:sz w:val="24"/>
              </w:rPr>
            </w:pPr>
            <w:r>
              <w:rPr>
                <w:rFonts w:hint="eastAsia" w:ascii="宋体" w:hAnsi="宋体" w:cs="宋体"/>
                <w:sz w:val="24"/>
              </w:rPr>
              <w:t>较差得0-10分(含10分)，一般得10-20分(含20分) 、良</w:t>
            </w:r>
            <w:r>
              <w:rPr>
                <w:rFonts w:ascii="宋体" w:hAnsi="宋体" w:cs="宋体"/>
                <w:sz w:val="24"/>
              </w:rPr>
              <w:t>得</w:t>
            </w:r>
            <w:r>
              <w:rPr>
                <w:rFonts w:hint="eastAsia" w:ascii="宋体" w:hAnsi="宋体" w:cs="宋体"/>
                <w:sz w:val="24"/>
              </w:rPr>
              <w:t>20</w:t>
            </w:r>
            <w:r>
              <w:rPr>
                <w:rFonts w:ascii="宋体" w:hAnsi="宋体" w:cs="宋体"/>
                <w:sz w:val="24"/>
              </w:rPr>
              <w:t>-30</w:t>
            </w:r>
            <w:r>
              <w:rPr>
                <w:rFonts w:hint="eastAsia" w:ascii="宋体" w:hAnsi="宋体" w:cs="宋体"/>
                <w:sz w:val="24"/>
              </w:rPr>
              <w:t>（含30）优得30-40分。</w:t>
            </w:r>
          </w:p>
        </w:tc>
        <w:tc>
          <w:tcPr>
            <w:tcW w:w="750"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 w:val="24"/>
                <w:lang w:bidi="ar"/>
              </w:rPr>
            </w:pPr>
            <w:r>
              <w:rPr>
                <w:rFonts w:ascii="宋体" w:hAnsi="宋体" w:cs="宋体"/>
                <w:sz w:val="24"/>
              </w:rPr>
              <w:t>40</w:t>
            </w:r>
            <w:r>
              <w:rPr>
                <w:rFonts w:hint="eastAsia" w:ascii="宋体" w:hAnsi="宋体" w:cs="宋体"/>
                <w:sz w:val="24"/>
              </w:rPr>
              <w:t>分</w:t>
            </w:r>
          </w:p>
        </w:tc>
      </w:tr>
      <w:tr>
        <w:tblPrEx>
          <w:tblLayout w:type="fixed"/>
          <w:tblCellMar>
            <w:top w:w="0" w:type="dxa"/>
            <w:left w:w="0" w:type="dxa"/>
            <w:bottom w:w="0" w:type="dxa"/>
            <w:right w:w="0" w:type="dxa"/>
          </w:tblCellMar>
        </w:tblPrEx>
        <w:trPr>
          <w:trHeight w:val="1873" w:hRule="atLeast"/>
          <w:jc w:val="center"/>
        </w:trPr>
        <w:tc>
          <w:tcPr>
            <w:tcW w:w="1118" w:type="dxa"/>
            <w:vMerge w:val="restart"/>
            <w:tcBorders>
              <w:top w:val="single" w:color="auto" w:sz="4" w:space="0"/>
              <w:left w:val="single" w:color="auto" w:sz="4" w:space="0"/>
              <w:right w:val="single" w:color="auto" w:sz="4" w:space="0"/>
            </w:tcBorders>
            <w:vAlign w:val="center"/>
          </w:tcPr>
          <w:p>
            <w:pPr>
              <w:spacing w:line="0" w:lineRule="atLeast"/>
              <w:jc w:val="center"/>
              <w:rPr>
                <w:rFonts w:hint="eastAsia" w:ascii="宋体" w:hAnsi="宋体" w:eastAsia="宋体" w:cs="宋体"/>
                <w:sz w:val="24"/>
                <w:lang w:val="en-US" w:eastAsia="zh-CN"/>
              </w:rPr>
            </w:pPr>
            <w:r>
              <w:rPr>
                <w:rFonts w:hint="eastAsia" w:ascii="宋体" w:hAnsi="宋体" w:cs="宋体"/>
                <w:sz w:val="24"/>
                <w:lang w:val="en-US" w:eastAsia="zh-CN"/>
              </w:rPr>
              <w:t>资信业绩部分（20分）</w:t>
            </w:r>
          </w:p>
        </w:tc>
        <w:tc>
          <w:tcPr>
            <w:tcW w:w="1185" w:type="dxa"/>
            <w:vMerge w:val="restart"/>
            <w:tcBorders>
              <w:top w:val="single" w:color="auto" w:sz="4" w:space="0"/>
              <w:left w:val="nil"/>
              <w:right w:val="single" w:color="auto" w:sz="4" w:space="0"/>
            </w:tcBorders>
            <w:vAlign w:val="center"/>
          </w:tcPr>
          <w:p>
            <w:pPr>
              <w:spacing w:line="0" w:lineRule="atLeast"/>
              <w:jc w:val="center"/>
              <w:rPr>
                <w:rFonts w:ascii="宋体" w:hAnsi="宋体" w:cs="宋体"/>
                <w:sz w:val="24"/>
              </w:rPr>
            </w:pPr>
          </w:p>
          <w:p>
            <w:pPr>
              <w:spacing w:line="0" w:lineRule="atLeast"/>
              <w:jc w:val="center"/>
              <w:rPr>
                <w:rFonts w:ascii="宋体" w:hAnsi="宋体" w:cs="宋体"/>
                <w:sz w:val="24"/>
              </w:rPr>
            </w:pPr>
            <w:r>
              <w:rPr>
                <w:rFonts w:hint="eastAsia" w:ascii="宋体" w:hAnsi="宋体" w:cs="宋体"/>
                <w:sz w:val="24"/>
              </w:rPr>
              <w:t xml:space="preserve">综合能力 （ </w:t>
            </w:r>
            <w:r>
              <w:rPr>
                <w:rFonts w:hint="eastAsia" w:ascii="宋体" w:hAnsi="宋体" w:cs="宋体"/>
                <w:bCs/>
                <w:sz w:val="24"/>
                <w:lang w:val="en-US" w:eastAsia="zh-CN"/>
              </w:rPr>
              <w:t>6</w:t>
            </w:r>
            <w:r>
              <w:rPr>
                <w:rFonts w:hint="eastAsia" w:ascii="宋体" w:hAnsi="宋体" w:cs="宋体"/>
                <w:sz w:val="24"/>
              </w:rPr>
              <w:t>分）</w:t>
            </w:r>
          </w:p>
          <w:p>
            <w:pPr>
              <w:spacing w:line="0" w:lineRule="atLeast"/>
              <w:jc w:val="center"/>
              <w:rPr>
                <w:rFonts w:ascii="宋体" w:hAnsi="宋体" w:cs="宋体"/>
                <w:sz w:val="24"/>
              </w:rPr>
            </w:pPr>
          </w:p>
          <w:p>
            <w:pPr>
              <w:spacing w:line="0" w:lineRule="atLeast"/>
              <w:jc w:val="center"/>
              <w:rPr>
                <w:rFonts w:ascii="宋体" w:hAnsi="宋体" w:cs="宋体"/>
                <w:sz w:val="24"/>
              </w:rPr>
            </w:pPr>
          </w:p>
          <w:p>
            <w:pPr>
              <w:spacing w:line="0" w:lineRule="atLeast"/>
              <w:jc w:val="center"/>
              <w:rPr>
                <w:rFonts w:ascii="宋体" w:hAnsi="宋体" w:cs="宋体"/>
                <w:color w:val="FF0000"/>
                <w:sz w:val="24"/>
              </w:rPr>
            </w:pPr>
          </w:p>
          <w:p>
            <w:pPr>
              <w:spacing w:line="0" w:lineRule="atLeast"/>
              <w:jc w:val="center"/>
              <w:rPr>
                <w:rFonts w:ascii="宋体" w:hAnsi="宋体" w:cs="宋体"/>
                <w:sz w:val="24"/>
              </w:rPr>
            </w:pPr>
          </w:p>
        </w:tc>
        <w:tc>
          <w:tcPr>
            <w:tcW w:w="7372" w:type="dxa"/>
            <w:tcBorders>
              <w:top w:val="single" w:color="auto" w:sz="4" w:space="0"/>
              <w:left w:val="nil"/>
              <w:right w:val="single" w:color="auto" w:sz="4" w:space="0"/>
            </w:tcBorders>
            <w:vAlign w:val="center"/>
          </w:tcPr>
          <w:p>
            <w:pPr>
              <w:jc w:val="left"/>
              <w:rPr>
                <w:rFonts w:ascii="宋体" w:hAnsi="宋体" w:cs="宋体"/>
                <w:sz w:val="24"/>
              </w:rPr>
            </w:pPr>
            <w:r>
              <w:rPr>
                <w:rFonts w:hint="eastAsia" w:ascii="宋体" w:hAnsi="宋体" w:cs="宋体"/>
                <w:sz w:val="24"/>
              </w:rPr>
              <w:t>投标人近五年</w:t>
            </w:r>
            <w:r>
              <w:rPr>
                <w:rFonts w:hint="eastAsia" w:ascii="宋体" w:hAnsi="宋体" w:cs="宋体"/>
                <w:sz w:val="24"/>
                <w:lang w:eastAsia="zh-CN"/>
              </w:rPr>
              <w:t>每</w:t>
            </w:r>
            <w:r>
              <w:rPr>
                <w:rFonts w:hint="eastAsia" w:ascii="宋体" w:hAnsi="宋体" w:cs="宋体"/>
                <w:sz w:val="24"/>
              </w:rPr>
              <w:t>获得</w:t>
            </w:r>
            <w:r>
              <w:rPr>
                <w:rFonts w:hint="eastAsia" w:ascii="宋体" w:hAnsi="宋体" w:cs="宋体"/>
                <w:sz w:val="24"/>
                <w:lang w:eastAsia="zh-CN"/>
              </w:rPr>
              <w:t>一次</w:t>
            </w:r>
            <w:r>
              <w:rPr>
                <w:rFonts w:hint="eastAsia" w:ascii="宋体" w:hAnsi="宋体" w:cs="宋体"/>
                <w:sz w:val="24"/>
              </w:rPr>
              <w:t>省级及以上</w:t>
            </w:r>
            <w:r>
              <w:rPr>
                <w:rFonts w:hint="eastAsia" w:ascii="宋体" w:hAnsi="宋体" w:cs="宋体"/>
                <w:sz w:val="24"/>
                <w:lang w:val="en-US" w:eastAsia="zh-CN"/>
              </w:rPr>
              <w:t>表彰奖励</w:t>
            </w:r>
            <w:r>
              <w:rPr>
                <w:rFonts w:hint="eastAsia" w:ascii="宋体" w:hAnsi="宋体" w:cs="宋体"/>
                <w:sz w:val="24"/>
              </w:rPr>
              <w:t>的得</w:t>
            </w:r>
            <w:r>
              <w:rPr>
                <w:rFonts w:hint="eastAsia" w:ascii="宋体" w:hAnsi="宋体" w:cs="宋体"/>
                <w:sz w:val="24"/>
                <w:lang w:val="en-US" w:eastAsia="zh-CN"/>
              </w:rPr>
              <w:t>1</w:t>
            </w:r>
            <w:r>
              <w:rPr>
                <w:rFonts w:hint="eastAsia" w:ascii="宋体" w:hAnsi="宋体" w:cs="宋体"/>
                <w:sz w:val="24"/>
              </w:rPr>
              <w:t>分，本项满分</w:t>
            </w:r>
            <w:r>
              <w:rPr>
                <w:rFonts w:hint="eastAsia" w:ascii="宋体" w:hAnsi="宋体" w:cs="宋体"/>
                <w:sz w:val="24"/>
                <w:lang w:val="en-US" w:eastAsia="zh-CN"/>
              </w:rPr>
              <w:t>4</w:t>
            </w:r>
            <w:r>
              <w:rPr>
                <w:rFonts w:hint="eastAsia" w:ascii="宋体" w:hAnsi="宋体" w:cs="宋体"/>
                <w:sz w:val="24"/>
              </w:rPr>
              <w:t>分，开标时提供证书原件。</w:t>
            </w:r>
          </w:p>
          <w:p>
            <w:pPr>
              <w:jc w:val="left"/>
              <w:rPr>
                <w:rFonts w:ascii="宋体" w:hAnsi="宋体" w:cs="宋体"/>
                <w:sz w:val="24"/>
              </w:rPr>
            </w:pPr>
            <w:r>
              <w:rPr>
                <w:rFonts w:hint="eastAsia" w:ascii="宋体" w:hAnsi="宋体" w:cs="宋体"/>
                <w:b/>
                <w:bCs/>
                <w:sz w:val="24"/>
              </w:rPr>
              <w:t>注:此项仅记最高项得分，最高得分</w:t>
            </w:r>
            <w:r>
              <w:rPr>
                <w:rFonts w:hint="eastAsia" w:ascii="宋体" w:hAnsi="宋体" w:cs="宋体"/>
                <w:b/>
                <w:bCs/>
                <w:sz w:val="24"/>
                <w:lang w:val="en-US" w:eastAsia="zh-CN"/>
              </w:rPr>
              <w:t>4</w:t>
            </w:r>
            <w:r>
              <w:rPr>
                <w:rFonts w:hint="eastAsia" w:ascii="宋体" w:hAnsi="宋体" w:cs="宋体"/>
                <w:b/>
                <w:bCs/>
                <w:sz w:val="24"/>
              </w:rPr>
              <w:t>分。开标时提供证书原件。</w:t>
            </w:r>
          </w:p>
        </w:tc>
        <w:tc>
          <w:tcPr>
            <w:tcW w:w="750"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lang w:val="en-US" w:eastAsia="zh-CN"/>
              </w:rPr>
              <w:t>4</w:t>
            </w:r>
            <w:r>
              <w:rPr>
                <w:rFonts w:hint="eastAsia" w:ascii="宋体" w:hAnsi="宋体" w:cs="宋体"/>
                <w:sz w:val="24"/>
              </w:rPr>
              <w:t>分</w:t>
            </w:r>
          </w:p>
          <w:p>
            <w:pPr>
              <w:jc w:val="center"/>
              <w:rPr>
                <w:rFonts w:ascii="宋体" w:hAnsi="宋体" w:cs="宋体"/>
                <w:sz w:val="24"/>
              </w:rPr>
            </w:pPr>
          </w:p>
        </w:tc>
      </w:tr>
      <w:tr>
        <w:tblPrEx>
          <w:tblLayout w:type="fixed"/>
          <w:tblCellMar>
            <w:top w:w="0" w:type="dxa"/>
            <w:left w:w="0" w:type="dxa"/>
            <w:bottom w:w="0" w:type="dxa"/>
            <w:right w:w="0" w:type="dxa"/>
          </w:tblCellMar>
        </w:tblPrEx>
        <w:trPr>
          <w:trHeight w:val="1400" w:hRule="atLeast"/>
          <w:jc w:val="center"/>
        </w:trPr>
        <w:tc>
          <w:tcPr>
            <w:tcW w:w="1118" w:type="dxa"/>
            <w:vMerge w:val="continue"/>
            <w:tcBorders>
              <w:left w:val="single" w:color="auto" w:sz="4" w:space="0"/>
              <w:right w:val="single" w:color="auto" w:sz="4" w:space="0"/>
            </w:tcBorders>
            <w:vAlign w:val="center"/>
          </w:tcPr>
          <w:p>
            <w:pPr>
              <w:widowControl/>
              <w:jc w:val="left"/>
              <w:rPr>
                <w:rFonts w:ascii="宋体" w:hAnsi="宋体" w:cs="宋体"/>
                <w:sz w:val="24"/>
              </w:rPr>
            </w:pPr>
          </w:p>
        </w:tc>
        <w:tc>
          <w:tcPr>
            <w:tcW w:w="1185" w:type="dxa"/>
            <w:vMerge w:val="continue"/>
            <w:tcBorders>
              <w:left w:val="nil"/>
              <w:bottom w:val="single" w:color="auto" w:sz="4" w:space="0"/>
              <w:right w:val="single" w:color="auto" w:sz="4" w:space="0"/>
            </w:tcBorders>
            <w:vAlign w:val="center"/>
          </w:tcPr>
          <w:p>
            <w:pPr>
              <w:spacing w:line="0" w:lineRule="atLeast"/>
              <w:jc w:val="center"/>
              <w:rPr>
                <w:rFonts w:ascii="宋体" w:hAnsi="宋体" w:cs="宋体"/>
                <w:sz w:val="24"/>
              </w:rPr>
            </w:pPr>
          </w:p>
        </w:tc>
        <w:tc>
          <w:tcPr>
            <w:tcW w:w="7372" w:type="dxa"/>
            <w:tcBorders>
              <w:top w:val="single" w:color="auto" w:sz="4" w:space="0"/>
              <w:left w:val="nil"/>
              <w:bottom w:val="single" w:color="auto" w:sz="4" w:space="0"/>
              <w:right w:val="single" w:color="auto" w:sz="4" w:space="0"/>
            </w:tcBorders>
            <w:vAlign w:val="center"/>
          </w:tcPr>
          <w:p>
            <w:pPr>
              <w:jc w:val="left"/>
              <w:rPr>
                <w:rFonts w:ascii="宋体" w:hAnsi="宋体" w:cs="宋体"/>
                <w:sz w:val="24"/>
              </w:rPr>
            </w:pPr>
            <w:r>
              <w:rPr>
                <w:rFonts w:hint="eastAsia" w:ascii="宋体" w:hAnsi="宋体" w:cs="宋体"/>
                <w:sz w:val="24"/>
              </w:rPr>
              <w:t>获得企业质量管理体系IS09001认证且在有效期的得1分;获得环境管理体系IS014001 认证且在有效期的得1分;获得职业健康安全管理体GB/T28001认证且在有效期的得1分。</w:t>
            </w:r>
          </w:p>
          <w:p>
            <w:pPr>
              <w:jc w:val="left"/>
              <w:rPr>
                <w:rFonts w:ascii="宋体" w:hAnsi="宋体" w:cs="宋体"/>
                <w:sz w:val="24"/>
              </w:rPr>
            </w:pPr>
            <w:r>
              <w:rPr>
                <w:rFonts w:hint="eastAsia" w:ascii="宋体" w:hAnsi="宋体" w:cs="宋体"/>
                <w:b/>
                <w:bCs/>
                <w:sz w:val="24"/>
              </w:rPr>
              <w:t>注:此项累计加分，最高得分</w:t>
            </w:r>
            <w:r>
              <w:rPr>
                <w:rFonts w:hint="eastAsia" w:ascii="宋体" w:hAnsi="宋体" w:cs="宋体"/>
                <w:b/>
                <w:bCs/>
                <w:sz w:val="24"/>
                <w:lang w:val="en-US" w:eastAsia="zh-CN"/>
              </w:rPr>
              <w:t>2</w:t>
            </w:r>
            <w:r>
              <w:rPr>
                <w:rFonts w:hint="eastAsia" w:ascii="宋体" w:hAnsi="宋体" w:cs="宋体"/>
                <w:b/>
                <w:bCs/>
                <w:sz w:val="24"/>
              </w:rPr>
              <w:t>分。开标时提供证书原件核查。</w:t>
            </w:r>
          </w:p>
        </w:tc>
        <w:tc>
          <w:tcPr>
            <w:tcW w:w="750"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ascii="宋体" w:hAnsi="宋体" w:cs="宋体"/>
                <w:sz w:val="24"/>
              </w:rPr>
              <w:t>2</w:t>
            </w:r>
            <w:r>
              <w:rPr>
                <w:rFonts w:hint="eastAsia" w:ascii="宋体" w:hAnsi="宋体" w:cs="宋体"/>
                <w:sz w:val="24"/>
              </w:rPr>
              <w:t>分</w:t>
            </w:r>
          </w:p>
        </w:tc>
      </w:tr>
      <w:tr>
        <w:tblPrEx>
          <w:tblLayout w:type="fixed"/>
          <w:tblCellMar>
            <w:top w:w="0" w:type="dxa"/>
            <w:left w:w="0" w:type="dxa"/>
            <w:bottom w:w="0" w:type="dxa"/>
            <w:right w:w="0" w:type="dxa"/>
          </w:tblCellMar>
        </w:tblPrEx>
        <w:trPr>
          <w:trHeight w:val="2629" w:hRule="exact"/>
          <w:jc w:val="center"/>
        </w:trPr>
        <w:tc>
          <w:tcPr>
            <w:tcW w:w="1118" w:type="dxa"/>
            <w:vMerge w:val="continue"/>
            <w:tcBorders>
              <w:left w:val="single" w:color="auto" w:sz="4" w:space="0"/>
              <w:right w:val="single" w:color="auto" w:sz="4" w:space="0"/>
            </w:tcBorders>
            <w:vAlign w:val="center"/>
          </w:tcPr>
          <w:p>
            <w:pPr>
              <w:widowControl/>
              <w:jc w:val="left"/>
              <w:rPr>
                <w:rFonts w:ascii="宋体" w:hAnsi="宋体" w:cs="宋体"/>
                <w:sz w:val="24"/>
              </w:rPr>
            </w:pPr>
          </w:p>
        </w:tc>
        <w:tc>
          <w:tcPr>
            <w:tcW w:w="1185" w:type="dxa"/>
            <w:vMerge w:val="restart"/>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企业业绩及奖项</w:t>
            </w:r>
          </w:p>
          <w:p>
            <w:pPr>
              <w:jc w:val="center"/>
              <w:rPr>
                <w:rFonts w:ascii="宋体" w:hAnsi="宋体" w:cs="宋体"/>
                <w:sz w:val="24"/>
              </w:rPr>
            </w:pPr>
            <w:r>
              <w:rPr>
                <w:rFonts w:hint="eastAsia" w:ascii="宋体" w:hAnsi="宋体" w:cs="宋体"/>
                <w:sz w:val="24"/>
              </w:rPr>
              <w:t>（</w:t>
            </w:r>
            <w:r>
              <w:rPr>
                <w:rFonts w:hint="eastAsia" w:ascii="宋体" w:hAnsi="宋体" w:cs="宋体"/>
                <w:sz w:val="24"/>
                <w:lang w:val="en-US" w:eastAsia="zh-CN"/>
              </w:rPr>
              <w:t>14</w:t>
            </w:r>
            <w:r>
              <w:rPr>
                <w:rFonts w:hint="eastAsia" w:ascii="宋体" w:hAnsi="宋体" w:cs="宋体"/>
                <w:sz w:val="24"/>
              </w:rPr>
              <w:t>分）</w:t>
            </w:r>
          </w:p>
          <w:p>
            <w:pPr>
              <w:jc w:val="center"/>
              <w:rPr>
                <w:rFonts w:ascii="宋体" w:hAnsi="宋体" w:cs="宋体"/>
                <w:sz w:val="24"/>
              </w:rPr>
            </w:pPr>
          </w:p>
        </w:tc>
        <w:tc>
          <w:tcPr>
            <w:tcW w:w="7372" w:type="dxa"/>
            <w:tcBorders>
              <w:top w:val="single" w:color="auto" w:sz="4" w:space="0"/>
              <w:left w:val="nil"/>
              <w:bottom w:val="single" w:color="auto" w:sz="4" w:space="0"/>
              <w:right w:val="single" w:color="auto" w:sz="4" w:space="0"/>
            </w:tcBorders>
            <w:vAlign w:val="center"/>
          </w:tcPr>
          <w:p>
            <w:pPr>
              <w:jc w:val="left"/>
              <w:rPr>
                <w:rFonts w:ascii="宋体" w:hAnsi="宋体" w:cs="宋体"/>
                <w:sz w:val="24"/>
              </w:rPr>
            </w:pPr>
            <w:r>
              <w:rPr>
                <w:rFonts w:hint="eastAsia" w:ascii="宋体" w:hAnsi="宋体" w:cs="宋体"/>
                <w:sz w:val="24"/>
              </w:rPr>
              <w:t>1、投标人</w:t>
            </w:r>
            <w:r>
              <w:rPr>
                <w:rFonts w:hint="eastAsia" w:ascii="宋体" w:hAnsi="宋体" w:cs="宋体"/>
                <w:sz w:val="24"/>
                <w:lang w:val="en-US" w:eastAsia="zh-CN"/>
              </w:rPr>
              <w:t>自2015年1月1日起，</w:t>
            </w:r>
            <w:r>
              <w:rPr>
                <w:rFonts w:hint="eastAsia" w:ascii="宋体" w:hAnsi="宋体" w:cs="宋体"/>
                <w:sz w:val="24"/>
              </w:rPr>
              <w:t>具有公共建筑智能化工程设计或总包(含智能化)设计业绩的，</w:t>
            </w:r>
            <w:r>
              <w:rPr>
                <w:rFonts w:hint="eastAsia" w:ascii="宋体" w:hAnsi="宋体" w:cs="宋体"/>
                <w:sz w:val="24"/>
                <w:lang w:val="en-US" w:eastAsia="zh-CN"/>
              </w:rPr>
              <w:t>设计合同价款在10万元以上的，每项得2分。</w:t>
            </w:r>
            <w:r>
              <w:rPr>
                <w:rFonts w:hint="eastAsia" w:ascii="宋体" w:hAnsi="宋体" w:cs="宋体"/>
                <w:sz w:val="24"/>
              </w:rPr>
              <w:t>(本项最高得</w:t>
            </w:r>
            <w:r>
              <w:rPr>
                <w:rFonts w:hint="eastAsia" w:ascii="宋体" w:hAnsi="宋体" w:cs="宋体"/>
                <w:sz w:val="24"/>
                <w:lang w:val="en-US" w:eastAsia="zh-CN"/>
              </w:rPr>
              <w:t>4</w:t>
            </w:r>
            <w:r>
              <w:rPr>
                <w:rFonts w:hint="eastAsia" w:ascii="宋体" w:hAnsi="宋体" w:cs="宋体"/>
                <w:sz w:val="24"/>
              </w:rPr>
              <w:t>分)。</w:t>
            </w:r>
          </w:p>
          <w:p>
            <w:pPr>
              <w:jc w:val="left"/>
              <w:rPr>
                <w:rFonts w:hint="eastAsia" w:ascii="宋体" w:hAnsi="宋体" w:cs="宋体"/>
                <w:sz w:val="24"/>
                <w:lang w:eastAsia="zh-CN"/>
              </w:rPr>
            </w:pPr>
            <w:r>
              <w:rPr>
                <w:rFonts w:hint="eastAsia" w:ascii="宋体" w:hAnsi="宋体" w:cs="宋体"/>
                <w:sz w:val="24"/>
              </w:rPr>
              <w:t>2、</w:t>
            </w:r>
            <w:r>
              <w:rPr>
                <w:rFonts w:ascii="宋体" w:hAnsi="宋体" w:cs="宋体"/>
                <w:sz w:val="24"/>
              </w:rPr>
              <w:t>投标人有类似</w:t>
            </w:r>
            <w:r>
              <w:rPr>
                <w:rFonts w:hint="eastAsia" w:ascii="宋体" w:hAnsi="宋体" w:cs="宋体"/>
                <w:sz w:val="24"/>
                <w:lang w:val="en-US" w:eastAsia="zh-CN"/>
              </w:rPr>
              <w:t>交通场站</w:t>
            </w:r>
            <w:r>
              <w:rPr>
                <w:rFonts w:ascii="宋体" w:hAnsi="宋体" w:cs="宋体"/>
                <w:sz w:val="24"/>
              </w:rPr>
              <w:t>工程设计业绩的</w:t>
            </w:r>
            <w:r>
              <w:rPr>
                <w:rFonts w:hint="eastAsia" w:ascii="宋体" w:hAnsi="宋体" w:cs="宋体"/>
                <w:sz w:val="24"/>
                <w:lang w:eastAsia="zh-CN"/>
              </w:rPr>
              <w:t>，</w:t>
            </w:r>
            <w:r>
              <w:rPr>
                <w:rFonts w:hint="eastAsia" w:ascii="宋体" w:hAnsi="宋体" w:cs="宋体"/>
                <w:sz w:val="24"/>
                <w:lang w:val="en-US" w:eastAsia="zh-CN"/>
              </w:rPr>
              <w:t>每项</w:t>
            </w:r>
            <w:r>
              <w:rPr>
                <w:rFonts w:ascii="宋体" w:hAnsi="宋体" w:cs="宋体"/>
                <w:sz w:val="24"/>
              </w:rPr>
              <w:t>得</w:t>
            </w:r>
            <w:r>
              <w:rPr>
                <w:rFonts w:hint="eastAsia" w:ascii="宋体" w:hAnsi="宋体" w:cs="宋体"/>
                <w:sz w:val="24"/>
                <w:lang w:val="en-US" w:eastAsia="zh-CN"/>
              </w:rPr>
              <w:t>2</w:t>
            </w:r>
            <w:r>
              <w:rPr>
                <w:rFonts w:hint="eastAsia" w:ascii="宋体" w:hAnsi="宋体" w:cs="宋体"/>
                <w:sz w:val="24"/>
              </w:rPr>
              <w:t>分</w:t>
            </w:r>
            <w:r>
              <w:rPr>
                <w:rFonts w:hint="eastAsia" w:ascii="宋体" w:hAnsi="宋体" w:cs="宋体"/>
                <w:sz w:val="24"/>
                <w:lang w:eastAsia="zh-CN"/>
              </w:rPr>
              <w:t>。</w:t>
            </w:r>
          </w:p>
          <w:p>
            <w:pPr>
              <w:jc w:val="left"/>
              <w:rPr>
                <w:rFonts w:ascii="宋体" w:hAnsi="宋体" w:cs="宋体"/>
                <w:sz w:val="24"/>
              </w:rPr>
            </w:pPr>
            <w:r>
              <w:rPr>
                <w:rFonts w:hint="eastAsia" w:ascii="宋体" w:hAnsi="宋体" w:cs="宋体"/>
                <w:sz w:val="24"/>
              </w:rPr>
              <w:t>(本项最高得</w:t>
            </w:r>
            <w:r>
              <w:rPr>
                <w:rFonts w:hint="eastAsia" w:ascii="宋体" w:hAnsi="宋体" w:cs="宋体"/>
                <w:sz w:val="24"/>
                <w:lang w:val="en-US" w:eastAsia="zh-CN"/>
              </w:rPr>
              <w:t>4</w:t>
            </w:r>
            <w:r>
              <w:rPr>
                <w:rFonts w:hint="eastAsia" w:ascii="宋体" w:hAnsi="宋体" w:cs="宋体"/>
                <w:sz w:val="24"/>
              </w:rPr>
              <w:t>分</w:t>
            </w:r>
            <w:r>
              <w:rPr>
                <w:rFonts w:hint="eastAsia" w:ascii="宋体" w:hAnsi="宋体" w:cs="宋体"/>
                <w:sz w:val="24"/>
                <w:lang w:eastAsia="zh-CN"/>
              </w:rPr>
              <w:t>，</w:t>
            </w:r>
            <w:r>
              <w:rPr>
                <w:rFonts w:hint="eastAsia" w:ascii="宋体" w:hAnsi="宋体" w:cs="宋体"/>
                <w:sz w:val="24"/>
                <w:lang w:val="en-US" w:eastAsia="zh-CN"/>
              </w:rPr>
              <w:t>业绩不得与第1条重复</w:t>
            </w:r>
            <w:r>
              <w:rPr>
                <w:rFonts w:hint="eastAsia" w:ascii="宋体" w:hAnsi="宋体" w:cs="宋体"/>
                <w:sz w:val="24"/>
              </w:rPr>
              <w:t>)。</w:t>
            </w:r>
          </w:p>
          <w:p>
            <w:pPr>
              <w:jc w:val="left"/>
              <w:rPr>
                <w:rFonts w:ascii="宋体" w:hAnsi="宋体" w:cs="宋体"/>
                <w:sz w:val="24"/>
              </w:rPr>
            </w:pPr>
            <w:r>
              <w:rPr>
                <w:rFonts w:hint="eastAsia" w:ascii="宋体" w:hAnsi="宋体" w:cs="宋体"/>
                <w:b/>
                <w:bCs/>
                <w:sz w:val="24"/>
              </w:rPr>
              <w:t>注:投标文件中需提供设计合同复印件，开标时提供证书原件核查，未提供不得分。</w:t>
            </w:r>
          </w:p>
        </w:tc>
        <w:tc>
          <w:tcPr>
            <w:tcW w:w="750"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ascii="宋体" w:hAnsi="宋体" w:cs="宋体"/>
                <w:sz w:val="24"/>
              </w:rPr>
              <w:t>8</w:t>
            </w:r>
            <w:r>
              <w:rPr>
                <w:rFonts w:hint="eastAsia" w:ascii="宋体" w:hAnsi="宋体" w:cs="宋体"/>
                <w:sz w:val="24"/>
              </w:rPr>
              <w:t>分</w:t>
            </w:r>
          </w:p>
        </w:tc>
      </w:tr>
      <w:tr>
        <w:tblPrEx>
          <w:tblLayout w:type="fixed"/>
          <w:tblCellMar>
            <w:top w:w="0" w:type="dxa"/>
            <w:left w:w="0" w:type="dxa"/>
            <w:bottom w:w="0" w:type="dxa"/>
            <w:right w:w="0" w:type="dxa"/>
          </w:tblCellMar>
        </w:tblPrEx>
        <w:trPr>
          <w:trHeight w:val="2374" w:hRule="exact"/>
          <w:jc w:val="center"/>
        </w:trPr>
        <w:tc>
          <w:tcPr>
            <w:tcW w:w="1118"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1185" w:type="dxa"/>
            <w:vMerge w:val="continue"/>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p>
        </w:tc>
        <w:tc>
          <w:tcPr>
            <w:tcW w:w="7372" w:type="dxa"/>
            <w:tcBorders>
              <w:top w:val="single" w:color="auto" w:sz="4" w:space="0"/>
              <w:left w:val="nil"/>
              <w:bottom w:val="single" w:color="auto" w:sz="4" w:space="0"/>
              <w:right w:val="single" w:color="auto" w:sz="4" w:space="0"/>
            </w:tcBorders>
            <w:vAlign w:val="center"/>
          </w:tcPr>
          <w:p>
            <w:pPr>
              <w:jc w:val="left"/>
              <w:rPr>
                <w:rFonts w:ascii="宋体" w:hAnsi="宋体" w:cs="宋体"/>
                <w:sz w:val="24"/>
              </w:rPr>
            </w:pPr>
            <w:r>
              <w:rPr>
                <w:rFonts w:hint="eastAsia" w:ascii="宋体" w:hAnsi="宋体" w:cs="宋体"/>
                <w:sz w:val="24"/>
              </w:rPr>
              <w:t>投标人近五年</w:t>
            </w:r>
            <w:r>
              <w:rPr>
                <w:rFonts w:hint="eastAsia" w:ascii="宋体" w:hAnsi="宋体" w:cs="宋体"/>
                <w:sz w:val="24"/>
                <w:lang w:val="en-US" w:eastAsia="zh-CN"/>
              </w:rPr>
              <w:t>的设计成果，</w:t>
            </w:r>
            <w:r>
              <w:rPr>
                <w:rFonts w:hint="eastAsia" w:ascii="宋体" w:hAnsi="宋体" w:cs="宋体"/>
                <w:sz w:val="24"/>
              </w:rPr>
              <w:t>获得过全国勘察设计行业奖项或证书的得6分；投标人获得过省级勘察设计行业奖项或证书的得4分。（本项仅计最高奖项，不累计得分)</w:t>
            </w:r>
          </w:p>
          <w:p>
            <w:pPr>
              <w:jc w:val="left"/>
              <w:rPr>
                <w:rFonts w:ascii="宋体" w:hAnsi="宋体" w:cs="宋体"/>
                <w:sz w:val="24"/>
              </w:rPr>
            </w:pPr>
            <w:r>
              <w:rPr>
                <w:rFonts w:hint="eastAsia" w:ascii="宋体" w:hAnsi="宋体" w:cs="宋体"/>
                <w:b/>
                <w:bCs/>
                <w:sz w:val="24"/>
              </w:rPr>
              <w:t>注：(1)同一项目分别获国家级、省级奖的只记取最高级别的奖项，不重复计分。获奖的奖项应为公共建筑工程。(2)投标文件中需提供上述相关证书或证明的复印件并加盖投标人公章；评标现场查验原件，未提供不得分。</w:t>
            </w:r>
          </w:p>
        </w:tc>
        <w:tc>
          <w:tcPr>
            <w:tcW w:w="750"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6分</w:t>
            </w:r>
          </w:p>
        </w:tc>
      </w:tr>
      <w:tr>
        <w:tblPrEx>
          <w:tblLayout w:type="fixed"/>
          <w:tblCellMar>
            <w:top w:w="0" w:type="dxa"/>
            <w:left w:w="0" w:type="dxa"/>
            <w:bottom w:w="0" w:type="dxa"/>
            <w:right w:w="0" w:type="dxa"/>
          </w:tblCellMar>
        </w:tblPrEx>
        <w:trPr>
          <w:trHeight w:val="3934" w:hRule="exact"/>
          <w:jc w:val="center"/>
        </w:trPr>
        <w:tc>
          <w:tcPr>
            <w:tcW w:w="1118"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sz w:val="24"/>
                <w:lang w:val="en-US" w:eastAsia="zh-CN"/>
              </w:rPr>
            </w:pPr>
            <w:r>
              <w:rPr>
                <w:rFonts w:hint="eastAsia" w:ascii="宋体" w:hAnsi="宋体" w:cs="宋体"/>
                <w:sz w:val="24"/>
                <w:lang w:val="en-US" w:eastAsia="zh-CN"/>
              </w:rPr>
              <w:t>项目人员组成（10分）</w:t>
            </w:r>
          </w:p>
        </w:tc>
        <w:tc>
          <w:tcPr>
            <w:tcW w:w="1185"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项目负责人</w:t>
            </w:r>
          </w:p>
          <w:p>
            <w:pPr>
              <w:jc w:val="center"/>
              <w:rPr>
                <w:rFonts w:ascii="宋体" w:hAnsi="宋体" w:cs="宋体"/>
                <w:sz w:val="24"/>
              </w:rPr>
            </w:pPr>
            <w:r>
              <w:rPr>
                <w:rFonts w:hint="eastAsia" w:ascii="宋体" w:hAnsi="宋体" w:cs="宋体"/>
                <w:sz w:val="24"/>
              </w:rPr>
              <w:t>（</w:t>
            </w:r>
            <w:r>
              <w:rPr>
                <w:rFonts w:hint="eastAsia" w:ascii="宋体" w:hAnsi="宋体" w:cs="宋体"/>
                <w:sz w:val="24"/>
                <w:lang w:val="en-US" w:eastAsia="zh-CN"/>
              </w:rPr>
              <w:t>6</w:t>
            </w:r>
            <w:r>
              <w:rPr>
                <w:rFonts w:hint="eastAsia" w:ascii="宋体" w:hAnsi="宋体" w:cs="宋体"/>
                <w:sz w:val="24"/>
              </w:rPr>
              <w:t>分）</w:t>
            </w:r>
          </w:p>
          <w:p>
            <w:pPr>
              <w:jc w:val="center"/>
              <w:rPr>
                <w:rFonts w:ascii="宋体" w:hAnsi="宋体" w:cs="宋体"/>
                <w:sz w:val="24"/>
              </w:rPr>
            </w:pPr>
          </w:p>
        </w:tc>
        <w:tc>
          <w:tcPr>
            <w:tcW w:w="7372" w:type="dxa"/>
            <w:tcBorders>
              <w:top w:val="single" w:color="auto" w:sz="4" w:space="0"/>
              <w:left w:val="nil"/>
              <w:bottom w:val="single" w:color="auto" w:sz="4" w:space="0"/>
              <w:right w:val="single" w:color="auto" w:sz="4" w:space="0"/>
            </w:tcBorders>
            <w:vAlign w:val="center"/>
          </w:tcPr>
          <w:p>
            <w:pPr>
              <w:jc w:val="left"/>
              <w:rPr>
                <w:rFonts w:ascii="宋体" w:hAnsi="宋体" w:cs="宋体"/>
                <w:sz w:val="24"/>
              </w:rPr>
            </w:pPr>
            <w:r>
              <w:rPr>
                <w:rFonts w:hint="eastAsia" w:ascii="宋体" w:hAnsi="宋体" w:cs="宋体"/>
                <w:sz w:val="24"/>
              </w:rPr>
              <w:t>1、拟派项目负责人具有相关电气（或建筑电气）高级职称的得</w:t>
            </w:r>
            <w:r>
              <w:rPr>
                <w:rFonts w:ascii="宋体" w:hAnsi="宋体" w:cs="宋体"/>
                <w:sz w:val="24"/>
              </w:rPr>
              <w:t>1</w:t>
            </w:r>
            <w:r>
              <w:rPr>
                <w:rFonts w:hint="eastAsia" w:ascii="宋体" w:hAnsi="宋体" w:cs="宋体"/>
                <w:sz w:val="24"/>
              </w:rPr>
              <w:t>分，正高级职称的得</w:t>
            </w:r>
            <w:r>
              <w:rPr>
                <w:rFonts w:ascii="宋体" w:hAnsi="宋体" w:cs="宋体"/>
                <w:sz w:val="24"/>
              </w:rPr>
              <w:t>2</w:t>
            </w:r>
            <w:r>
              <w:rPr>
                <w:rFonts w:hint="eastAsia" w:ascii="宋体" w:hAnsi="宋体" w:cs="宋体"/>
                <w:sz w:val="24"/>
              </w:rPr>
              <w:t>分，同时具有国家注册电气工程师职称的得</w:t>
            </w:r>
            <w:r>
              <w:rPr>
                <w:rFonts w:ascii="宋体" w:hAnsi="宋体" w:cs="宋体"/>
                <w:sz w:val="24"/>
              </w:rPr>
              <w:t>3</w:t>
            </w:r>
            <w:r>
              <w:rPr>
                <w:rFonts w:hint="eastAsia" w:ascii="宋体" w:hAnsi="宋体" w:cs="宋体"/>
                <w:sz w:val="24"/>
              </w:rPr>
              <w:t>分。</w:t>
            </w:r>
          </w:p>
          <w:p>
            <w:pPr>
              <w:jc w:val="left"/>
              <w:rPr>
                <w:rFonts w:ascii="宋体" w:hAnsi="宋体" w:cs="宋体"/>
                <w:sz w:val="24"/>
              </w:rPr>
            </w:pPr>
            <w:r>
              <w:rPr>
                <w:rFonts w:hint="eastAsia" w:ascii="宋体" w:hAnsi="宋体" w:cs="宋体"/>
                <w:sz w:val="24"/>
              </w:rPr>
              <w:t>2、投标项目负责人具有5万m2 (含5万m2)公共建筑智能化工程设计或总包(含智能化)设计业绩的得基本分</w:t>
            </w:r>
            <w:r>
              <w:rPr>
                <w:rFonts w:ascii="宋体" w:hAnsi="宋体" w:cs="宋体"/>
                <w:sz w:val="24"/>
              </w:rPr>
              <w:t>1</w:t>
            </w:r>
            <w:r>
              <w:rPr>
                <w:rFonts w:hint="eastAsia" w:ascii="宋体" w:hAnsi="宋体" w:cs="宋体"/>
                <w:sz w:val="24"/>
              </w:rPr>
              <w:t>分，每增加一个加</w:t>
            </w:r>
            <w:r>
              <w:rPr>
                <w:rFonts w:ascii="宋体" w:hAnsi="宋体" w:cs="宋体"/>
                <w:sz w:val="24"/>
              </w:rPr>
              <w:t>1</w:t>
            </w:r>
            <w:r>
              <w:rPr>
                <w:rFonts w:hint="eastAsia" w:ascii="宋体" w:hAnsi="宋体" w:cs="宋体"/>
                <w:sz w:val="24"/>
              </w:rPr>
              <w:t>分，最高得</w:t>
            </w:r>
            <w:r>
              <w:rPr>
                <w:rFonts w:ascii="宋体" w:hAnsi="宋体" w:cs="宋体"/>
                <w:sz w:val="24"/>
              </w:rPr>
              <w:t>2</w:t>
            </w:r>
            <w:r>
              <w:rPr>
                <w:rFonts w:hint="eastAsia" w:ascii="宋体" w:hAnsi="宋体" w:cs="宋体"/>
                <w:sz w:val="24"/>
              </w:rPr>
              <w:t>分。</w:t>
            </w:r>
          </w:p>
          <w:p>
            <w:pPr>
              <w:jc w:val="left"/>
              <w:rPr>
                <w:rFonts w:ascii="宋体" w:hAnsi="宋体" w:cs="宋体"/>
                <w:b/>
                <w:bCs/>
                <w:sz w:val="24"/>
              </w:rPr>
            </w:pPr>
            <w:r>
              <w:rPr>
                <w:rFonts w:hint="eastAsia" w:ascii="宋体" w:hAnsi="宋体" w:cs="宋体"/>
                <w:sz w:val="24"/>
              </w:rPr>
              <w:t>3.拟派项目负责人获得全国勘察设计行业奖项的，每提供一个得</w:t>
            </w:r>
            <w:r>
              <w:rPr>
                <w:rFonts w:ascii="宋体" w:hAnsi="宋体" w:cs="宋体"/>
                <w:sz w:val="24"/>
              </w:rPr>
              <w:t>1.5</w:t>
            </w:r>
            <w:r>
              <w:rPr>
                <w:rFonts w:hint="eastAsia" w:ascii="宋体" w:hAnsi="宋体" w:cs="宋体"/>
                <w:sz w:val="24"/>
              </w:rPr>
              <w:t>分，最高得</w:t>
            </w:r>
            <w:r>
              <w:rPr>
                <w:rFonts w:ascii="宋体" w:hAnsi="宋体" w:cs="宋体"/>
                <w:sz w:val="24"/>
              </w:rPr>
              <w:t>3</w:t>
            </w:r>
            <w:r>
              <w:rPr>
                <w:rFonts w:hint="eastAsia" w:ascii="宋体" w:hAnsi="宋体" w:cs="宋体"/>
                <w:sz w:val="24"/>
              </w:rPr>
              <w:t>分；获得省级勘察设计行业奖项的，每提供一个得</w:t>
            </w:r>
            <w:r>
              <w:rPr>
                <w:rFonts w:ascii="宋体" w:hAnsi="宋体" w:cs="宋体"/>
                <w:sz w:val="24"/>
              </w:rPr>
              <w:t>0.5</w:t>
            </w:r>
            <w:r>
              <w:rPr>
                <w:rFonts w:hint="eastAsia" w:ascii="宋体" w:hAnsi="宋体" w:cs="宋体"/>
                <w:sz w:val="24"/>
              </w:rPr>
              <w:t>分，最高得</w:t>
            </w:r>
            <w:r>
              <w:rPr>
                <w:rFonts w:ascii="宋体" w:hAnsi="宋体" w:cs="宋体"/>
                <w:sz w:val="24"/>
              </w:rPr>
              <w:t>1</w:t>
            </w:r>
            <w:r>
              <w:rPr>
                <w:rFonts w:hint="eastAsia" w:ascii="宋体" w:hAnsi="宋体" w:cs="宋体"/>
                <w:sz w:val="24"/>
              </w:rPr>
              <w:t>分；</w:t>
            </w:r>
            <w:r>
              <w:rPr>
                <w:rFonts w:hint="eastAsia" w:ascii="宋体" w:hAnsi="宋体" w:cs="宋体"/>
                <w:b/>
                <w:bCs/>
                <w:sz w:val="24"/>
              </w:rPr>
              <w:t>注：(1)同一项目分别获全国、省级奖的只记取最高级别的奖项，不重复计分。(2)投标文件中需提供上述相关证书或证明的复印件并加盖投标人公章；评标现场查验原件，未提供不得分。</w:t>
            </w:r>
          </w:p>
        </w:tc>
        <w:tc>
          <w:tcPr>
            <w:tcW w:w="750"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 w:val="24"/>
                <w:lang w:bidi="ar"/>
              </w:rPr>
            </w:pPr>
            <w:r>
              <w:rPr>
                <w:rFonts w:hint="eastAsia" w:ascii="宋体" w:hAnsi="宋体" w:cs="宋体"/>
                <w:sz w:val="24"/>
                <w:lang w:val="en-US" w:eastAsia="zh-CN"/>
              </w:rPr>
              <w:t>6</w:t>
            </w:r>
            <w:r>
              <w:rPr>
                <w:rFonts w:hint="eastAsia" w:ascii="宋体" w:hAnsi="宋体" w:cs="宋体"/>
                <w:sz w:val="24"/>
              </w:rPr>
              <w:t>分</w:t>
            </w:r>
          </w:p>
        </w:tc>
      </w:tr>
      <w:tr>
        <w:tblPrEx>
          <w:tblLayout w:type="fixed"/>
          <w:tblCellMar>
            <w:top w:w="0" w:type="dxa"/>
            <w:left w:w="0" w:type="dxa"/>
            <w:bottom w:w="0" w:type="dxa"/>
            <w:right w:w="0" w:type="dxa"/>
          </w:tblCellMar>
        </w:tblPrEx>
        <w:trPr>
          <w:trHeight w:val="3344" w:hRule="exact"/>
          <w:jc w:val="center"/>
        </w:trPr>
        <w:tc>
          <w:tcPr>
            <w:tcW w:w="11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p>
        </w:tc>
        <w:tc>
          <w:tcPr>
            <w:tcW w:w="1185"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项目班子配备</w:t>
            </w:r>
          </w:p>
          <w:p>
            <w:pPr>
              <w:jc w:val="center"/>
              <w:rPr>
                <w:rFonts w:ascii="宋体" w:hAnsi="宋体" w:cs="宋体"/>
                <w:sz w:val="24"/>
              </w:rPr>
            </w:pPr>
            <w:r>
              <w:rPr>
                <w:rFonts w:hint="eastAsia" w:ascii="宋体" w:hAnsi="宋体" w:cs="宋体"/>
                <w:sz w:val="24"/>
              </w:rPr>
              <w:t>（</w:t>
            </w:r>
            <w:r>
              <w:rPr>
                <w:rFonts w:ascii="宋体" w:hAnsi="宋体" w:cs="宋体"/>
                <w:sz w:val="24"/>
              </w:rPr>
              <w:t>4</w:t>
            </w:r>
            <w:r>
              <w:rPr>
                <w:rFonts w:hint="eastAsia" w:ascii="宋体" w:hAnsi="宋体" w:cs="宋体"/>
                <w:sz w:val="24"/>
              </w:rPr>
              <w:t>分）</w:t>
            </w:r>
          </w:p>
          <w:p>
            <w:pPr>
              <w:jc w:val="center"/>
              <w:rPr>
                <w:rFonts w:ascii="宋体" w:hAnsi="宋体" w:cs="宋体"/>
                <w:snapToGrid w:val="0"/>
                <w:sz w:val="24"/>
              </w:rPr>
            </w:pPr>
          </w:p>
        </w:tc>
        <w:tc>
          <w:tcPr>
            <w:tcW w:w="7372" w:type="dxa"/>
            <w:tcBorders>
              <w:top w:val="single" w:color="auto" w:sz="4" w:space="0"/>
              <w:left w:val="nil"/>
              <w:bottom w:val="single" w:color="auto" w:sz="4" w:space="0"/>
              <w:right w:val="single" w:color="auto" w:sz="4" w:space="0"/>
            </w:tcBorders>
            <w:vAlign w:val="center"/>
          </w:tcPr>
          <w:p>
            <w:pPr>
              <w:jc w:val="left"/>
              <w:rPr>
                <w:rFonts w:ascii="宋体" w:hAnsi="宋体" w:cs="宋体"/>
                <w:sz w:val="24"/>
              </w:rPr>
            </w:pPr>
            <w:r>
              <w:rPr>
                <w:rFonts w:hint="eastAsia" w:ascii="宋体" w:hAnsi="宋体" w:cs="宋体"/>
                <w:sz w:val="24"/>
              </w:rPr>
              <w:t>1、拟派项目班子成员具有国家注册电气工程师职称的得</w:t>
            </w:r>
            <w:r>
              <w:rPr>
                <w:rFonts w:ascii="宋体" w:hAnsi="宋体" w:cs="宋体"/>
                <w:sz w:val="24"/>
              </w:rPr>
              <w:t>1</w:t>
            </w:r>
            <w:r>
              <w:rPr>
                <w:rFonts w:hint="eastAsia" w:ascii="宋体" w:hAnsi="宋体" w:cs="宋体"/>
                <w:sz w:val="24"/>
              </w:rPr>
              <w:t>分。</w:t>
            </w:r>
          </w:p>
          <w:p>
            <w:pPr>
              <w:jc w:val="left"/>
              <w:rPr>
                <w:rFonts w:ascii="宋体" w:hAnsi="宋体" w:cs="宋体"/>
                <w:sz w:val="24"/>
              </w:rPr>
            </w:pPr>
            <w:r>
              <w:rPr>
                <w:rFonts w:hint="eastAsia" w:ascii="宋体" w:hAnsi="宋体" w:cs="宋体"/>
                <w:sz w:val="24"/>
              </w:rPr>
              <w:t>2、拟派项目班子成员具有建筑工程国家一级注册建筑师资格的得</w:t>
            </w:r>
            <w:r>
              <w:rPr>
                <w:rFonts w:ascii="宋体" w:hAnsi="宋体" w:cs="宋体"/>
                <w:sz w:val="24"/>
              </w:rPr>
              <w:t>1</w:t>
            </w:r>
            <w:r>
              <w:rPr>
                <w:rFonts w:hint="eastAsia" w:ascii="宋体" w:hAnsi="宋体" w:cs="宋体"/>
                <w:sz w:val="24"/>
              </w:rPr>
              <w:t>分。</w:t>
            </w:r>
          </w:p>
          <w:p>
            <w:pPr>
              <w:jc w:val="left"/>
              <w:rPr>
                <w:rFonts w:ascii="宋体" w:hAnsi="宋体" w:cs="宋体"/>
                <w:sz w:val="24"/>
              </w:rPr>
            </w:pPr>
            <w:r>
              <w:rPr>
                <w:rFonts w:hint="eastAsia" w:ascii="宋体" w:hAnsi="宋体" w:cs="宋体"/>
                <w:sz w:val="24"/>
              </w:rPr>
              <w:t>3、拟派项目班子成员具有注册造价工程师职称的得</w:t>
            </w:r>
            <w:r>
              <w:rPr>
                <w:rFonts w:ascii="宋体" w:hAnsi="宋体" w:cs="宋体"/>
                <w:sz w:val="24"/>
              </w:rPr>
              <w:t>1</w:t>
            </w:r>
            <w:r>
              <w:rPr>
                <w:rFonts w:hint="eastAsia" w:ascii="宋体" w:hAnsi="宋体" w:cs="宋体"/>
                <w:sz w:val="24"/>
              </w:rPr>
              <w:t>分。</w:t>
            </w:r>
          </w:p>
          <w:p>
            <w:pPr>
              <w:jc w:val="left"/>
              <w:rPr>
                <w:rFonts w:ascii="宋体" w:hAnsi="宋体" w:cs="宋体"/>
                <w:sz w:val="24"/>
              </w:rPr>
            </w:pPr>
            <w:r>
              <w:rPr>
                <w:rFonts w:hint="eastAsia" w:ascii="宋体" w:hAnsi="宋体" w:cs="宋体"/>
                <w:sz w:val="24"/>
              </w:rPr>
              <w:t>4、拟派项目班子成员具有电气（或建筑电气）高级工程师职称得</w:t>
            </w:r>
            <w:r>
              <w:rPr>
                <w:rFonts w:ascii="宋体" w:hAnsi="宋体" w:cs="宋体"/>
                <w:sz w:val="24"/>
              </w:rPr>
              <w:t>1</w:t>
            </w:r>
            <w:r>
              <w:rPr>
                <w:rFonts w:hint="eastAsia" w:ascii="宋体" w:hAnsi="宋体" w:cs="宋体"/>
                <w:sz w:val="24"/>
              </w:rPr>
              <w:t>分。</w:t>
            </w:r>
          </w:p>
          <w:p>
            <w:pPr>
              <w:jc w:val="left"/>
              <w:rPr>
                <w:rFonts w:ascii="宋体" w:hAnsi="宋体" w:cs="宋体"/>
                <w:b/>
                <w:bCs/>
                <w:sz w:val="24"/>
              </w:rPr>
            </w:pPr>
          </w:p>
          <w:p>
            <w:pPr>
              <w:jc w:val="left"/>
              <w:rPr>
                <w:rFonts w:ascii="宋体" w:hAnsi="宋体" w:cs="宋体"/>
                <w:sz w:val="24"/>
              </w:rPr>
            </w:pPr>
            <w:r>
              <w:rPr>
                <w:rFonts w:hint="eastAsia" w:ascii="宋体" w:hAnsi="宋体" w:cs="宋体"/>
                <w:b/>
                <w:bCs/>
                <w:sz w:val="24"/>
              </w:rPr>
              <w:t xml:space="preserve">注: </w:t>
            </w:r>
            <w:r>
              <w:rPr>
                <w:rFonts w:hint="eastAsia" w:ascii="宋体" w:hAnsi="宋体" w:cs="宋体"/>
                <w:b/>
                <w:bCs/>
                <w:sz w:val="24"/>
                <w:lang w:val="en-US" w:eastAsia="zh-CN"/>
              </w:rPr>
              <w:t>上述人员中不包括项目负责人，</w:t>
            </w:r>
            <w:r>
              <w:rPr>
                <w:rFonts w:hint="eastAsia" w:ascii="宋体" w:hAnsi="宋体" w:cs="宋体"/>
                <w:b/>
                <w:bCs/>
                <w:sz w:val="24"/>
              </w:rPr>
              <w:t>投标文件中需提供上述相关证书或证明的复印件，并提供原件核查。</w:t>
            </w:r>
          </w:p>
        </w:tc>
        <w:tc>
          <w:tcPr>
            <w:tcW w:w="750"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 w:val="24"/>
                <w:lang w:bidi="ar"/>
              </w:rPr>
            </w:pPr>
            <w:r>
              <w:rPr>
                <w:rFonts w:ascii="宋体" w:hAnsi="宋体" w:cs="宋体"/>
                <w:sz w:val="24"/>
              </w:rPr>
              <w:t>4</w:t>
            </w:r>
            <w:r>
              <w:rPr>
                <w:rFonts w:hint="eastAsia" w:ascii="宋体" w:hAnsi="宋体" w:cs="宋体"/>
                <w:sz w:val="24"/>
              </w:rPr>
              <w:t>分</w:t>
            </w:r>
          </w:p>
        </w:tc>
      </w:tr>
      <w:tr>
        <w:tblPrEx>
          <w:tblLayout w:type="fixed"/>
          <w:tblCellMar>
            <w:top w:w="0" w:type="dxa"/>
            <w:left w:w="0" w:type="dxa"/>
            <w:bottom w:w="0" w:type="dxa"/>
            <w:right w:w="0" w:type="dxa"/>
          </w:tblCellMar>
        </w:tblPrEx>
        <w:trPr>
          <w:trHeight w:val="3344" w:hRule="exact"/>
          <w:jc w:val="center"/>
        </w:trPr>
        <w:tc>
          <w:tcPr>
            <w:tcW w:w="111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rPr>
            </w:pPr>
            <w:r>
              <w:rPr>
                <w:rFonts w:hint="eastAsia" w:ascii="宋体" w:hAnsi="宋体" w:cs="宋体"/>
                <w:sz w:val="24"/>
              </w:rPr>
              <w:t>商务部分</w:t>
            </w:r>
            <w:r>
              <w:rPr>
                <w:rFonts w:ascii="宋体" w:hAnsi="宋体" w:cs="宋体"/>
                <w:sz w:val="24"/>
              </w:rPr>
              <w:t>（</w:t>
            </w:r>
            <w:r>
              <w:rPr>
                <w:rFonts w:hint="eastAsia" w:ascii="宋体" w:hAnsi="宋体" w:cs="宋体"/>
                <w:sz w:val="24"/>
              </w:rPr>
              <w:t>30分</w:t>
            </w:r>
            <w:r>
              <w:rPr>
                <w:rFonts w:ascii="宋体" w:hAnsi="宋体" w:cs="宋体"/>
                <w:sz w:val="24"/>
              </w:rPr>
              <w:t>）</w:t>
            </w:r>
          </w:p>
        </w:tc>
        <w:tc>
          <w:tcPr>
            <w:tcW w:w="1185"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投标</w:t>
            </w:r>
            <w:r>
              <w:rPr>
                <w:rFonts w:ascii="宋体" w:hAnsi="宋体" w:cs="宋体"/>
                <w:sz w:val="24"/>
              </w:rPr>
              <w:t>报价</w:t>
            </w:r>
            <w:r>
              <w:rPr>
                <w:rFonts w:hint="eastAsia" w:ascii="宋体" w:hAnsi="宋体" w:cs="宋体"/>
                <w:sz w:val="24"/>
              </w:rPr>
              <w:t>商务</w:t>
            </w:r>
            <w:r>
              <w:rPr>
                <w:rFonts w:ascii="宋体" w:hAnsi="宋体" w:cs="宋体"/>
                <w:sz w:val="24"/>
              </w:rPr>
              <w:t>评审标准</w:t>
            </w:r>
          </w:p>
        </w:tc>
        <w:tc>
          <w:tcPr>
            <w:tcW w:w="7372" w:type="dxa"/>
            <w:tcBorders>
              <w:top w:val="single" w:color="auto" w:sz="4" w:space="0"/>
              <w:left w:val="nil"/>
              <w:bottom w:val="single" w:color="auto" w:sz="4" w:space="0"/>
              <w:right w:val="single" w:color="auto" w:sz="4" w:space="0"/>
            </w:tcBorders>
            <w:vAlign w:val="center"/>
          </w:tcPr>
          <w:p>
            <w:pPr>
              <w:spacing w:line="400" w:lineRule="atLeast"/>
              <w:rPr>
                <w:rFonts w:ascii="宋体" w:hAnsi="宋体"/>
                <w:sz w:val="24"/>
                <w:szCs w:val="24"/>
              </w:rPr>
            </w:pPr>
            <w:r>
              <w:rPr>
                <w:rFonts w:hint="eastAsia" w:ascii="宋体" w:hAnsi="宋体"/>
                <w:sz w:val="24"/>
              </w:rPr>
              <w:t>评</w:t>
            </w:r>
            <w:r>
              <w:rPr>
                <w:rFonts w:hint="eastAsia" w:ascii="宋体" w:hAnsi="宋体"/>
                <w:sz w:val="24"/>
                <w:szCs w:val="24"/>
              </w:rPr>
              <w:t>标基准价为所有有效投标报价的算术平均值</w:t>
            </w:r>
            <w:r>
              <w:rPr>
                <w:rFonts w:hint="eastAsia" w:ascii="宋体" w:hAnsi="宋体"/>
                <w:sz w:val="24"/>
                <w:szCs w:val="24"/>
                <w:lang w:val="en-US" w:eastAsia="zh-CN"/>
              </w:rPr>
              <w:t>的95%。</w:t>
            </w:r>
            <w:r>
              <w:rPr>
                <w:rFonts w:hint="eastAsia" w:ascii="宋体" w:hAnsi="宋体"/>
                <w:sz w:val="24"/>
                <w:szCs w:val="24"/>
              </w:rPr>
              <w:t>(有效投标报价:通过资格和符合性审查的投标报价)。</w:t>
            </w:r>
          </w:p>
          <w:p>
            <w:pPr>
              <w:spacing w:line="400" w:lineRule="atLeast"/>
              <w:rPr>
                <w:rFonts w:ascii="宋体" w:hAnsi="宋体"/>
                <w:sz w:val="24"/>
                <w:szCs w:val="24"/>
              </w:rPr>
            </w:pPr>
            <w:r>
              <w:rPr>
                <w:rFonts w:hint="eastAsia" w:ascii="宋体" w:hAnsi="宋体"/>
                <w:sz w:val="24"/>
                <w:szCs w:val="24"/>
              </w:rPr>
              <w:t>2、投标人的有效投标报价与评标基准价相比，相等得满分</w:t>
            </w:r>
            <w:r>
              <w:rPr>
                <w:rFonts w:hint="eastAsia" w:ascii="宋体" w:hAnsi="宋体"/>
                <w:sz w:val="24"/>
              </w:rPr>
              <w:t>30</w:t>
            </w:r>
            <w:r>
              <w:rPr>
                <w:rFonts w:hint="eastAsia" w:ascii="宋体" w:hAnsi="宋体"/>
                <w:sz w:val="24"/>
                <w:szCs w:val="24"/>
              </w:rPr>
              <w:t>分；</w:t>
            </w:r>
          </w:p>
          <w:p>
            <w:pPr>
              <w:spacing w:line="400" w:lineRule="atLeast"/>
              <w:rPr>
                <w:rFonts w:ascii="宋体" w:hAnsi="宋体"/>
                <w:sz w:val="24"/>
                <w:szCs w:val="24"/>
              </w:rPr>
            </w:pPr>
            <w:r>
              <w:rPr>
                <w:rFonts w:hint="eastAsia" w:ascii="宋体" w:hAnsi="宋体"/>
                <w:sz w:val="24"/>
                <w:szCs w:val="24"/>
              </w:rPr>
              <w:t>3、投标人的有效投标报价低于评标基准价的，每低于1%扣</w:t>
            </w:r>
            <w:r>
              <w:rPr>
                <w:rFonts w:hint="eastAsia" w:ascii="宋体" w:hAnsi="宋体"/>
                <w:sz w:val="24"/>
              </w:rPr>
              <w:t>0.</w:t>
            </w:r>
            <w:r>
              <w:rPr>
                <w:rFonts w:hint="eastAsia" w:ascii="宋体" w:hAnsi="宋体"/>
                <w:sz w:val="24"/>
                <w:lang w:val="en-US" w:eastAsia="zh-CN"/>
              </w:rPr>
              <w:t>2</w:t>
            </w:r>
            <w:r>
              <w:rPr>
                <w:rFonts w:hint="eastAsia" w:ascii="宋体" w:hAnsi="宋体"/>
                <w:sz w:val="24"/>
                <w:szCs w:val="24"/>
              </w:rPr>
              <w:t>分；</w:t>
            </w:r>
          </w:p>
          <w:p>
            <w:pPr>
              <w:spacing w:line="400" w:lineRule="atLeast"/>
              <w:rPr>
                <w:rFonts w:ascii="宋体" w:hAnsi="宋体"/>
                <w:sz w:val="24"/>
                <w:szCs w:val="24"/>
              </w:rPr>
            </w:pPr>
            <w:r>
              <w:rPr>
                <w:rFonts w:hint="eastAsia" w:ascii="宋体" w:hAnsi="宋体"/>
                <w:sz w:val="24"/>
                <w:szCs w:val="24"/>
              </w:rPr>
              <w:t>4、投标报价高于评标基准价的，每高于1%扣</w:t>
            </w:r>
            <w:r>
              <w:rPr>
                <w:rFonts w:hint="eastAsia" w:ascii="宋体" w:hAnsi="宋体"/>
                <w:sz w:val="24"/>
                <w:szCs w:val="24"/>
                <w:lang w:val="en-US" w:eastAsia="zh-CN"/>
              </w:rPr>
              <w:t>0.4</w:t>
            </w:r>
            <w:r>
              <w:rPr>
                <w:rFonts w:hint="eastAsia" w:ascii="宋体" w:hAnsi="宋体"/>
                <w:sz w:val="24"/>
                <w:szCs w:val="24"/>
              </w:rPr>
              <w:t>分。</w:t>
            </w:r>
          </w:p>
          <w:p>
            <w:pPr>
              <w:jc w:val="left"/>
              <w:rPr>
                <w:rFonts w:ascii="宋体" w:hAnsi="宋体" w:cs="宋体"/>
                <w:sz w:val="24"/>
              </w:rPr>
            </w:pPr>
            <w:r>
              <w:rPr>
                <w:rFonts w:hint="eastAsia" w:ascii="宋体" w:hAnsi="宋体"/>
                <w:sz w:val="24"/>
                <w:szCs w:val="24"/>
              </w:rPr>
              <w:t>投标报价得分小数点后保留两位小数，第三位四舍五入 。</w:t>
            </w:r>
          </w:p>
        </w:tc>
        <w:tc>
          <w:tcPr>
            <w:tcW w:w="750"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sz w:val="24"/>
                <w:lang w:val="en-US" w:eastAsia="zh-CN"/>
              </w:rPr>
            </w:pPr>
            <w:r>
              <w:rPr>
                <w:rFonts w:hint="eastAsia" w:ascii="宋体" w:hAnsi="宋体" w:cs="宋体"/>
                <w:sz w:val="24"/>
                <w:lang w:val="en-US" w:eastAsia="zh-CN"/>
              </w:rPr>
              <w:t>30分</w:t>
            </w:r>
          </w:p>
        </w:tc>
      </w:tr>
    </w:tbl>
    <w:p>
      <w:pPr>
        <w:rPr>
          <w:rFonts w:ascii="宋体" w:hAnsi="宋体"/>
          <w:szCs w:val="24"/>
        </w:rPr>
      </w:pPr>
      <w:r>
        <w:rPr>
          <w:rFonts w:ascii="Times New Roman" w:hAnsi="Times New Roman"/>
          <w:color w:val="000000"/>
        </w:rPr>
        <w:br w:type="page"/>
      </w:r>
      <w:r>
        <w:rPr>
          <w:rFonts w:hint="eastAsia" w:ascii="宋体" w:hAnsi="宋体"/>
          <w:szCs w:val="24"/>
        </w:rPr>
        <w:t>备注： 以上参与评审的证书、证件、合同等资料复印件加盖单位公章胶装在投标文件中。招标人有权在中标公示期间对中标候选人提供的业绩、证书等材料进行真伪核实，中标候选人必须无条件配合，如未按招标人要求配合审核，视为自动放弃其候选人资格，招标人有权取消其中标候选人资格并没收投标保证金，投标人不得有任何异议。</w:t>
      </w:r>
    </w:p>
    <w:p>
      <w:pPr>
        <w:spacing w:line="400" w:lineRule="atLeast"/>
        <w:rPr>
          <w:rFonts w:ascii="宋体" w:hAnsi="Times New Roman"/>
          <w:b/>
          <w:szCs w:val="21"/>
        </w:rPr>
      </w:pPr>
    </w:p>
    <w:p>
      <w:pPr>
        <w:spacing w:line="400" w:lineRule="exact"/>
        <w:rPr>
          <w:rFonts w:ascii="Times New Roman" w:hAnsi="Times New Roman"/>
          <w:color w:val="000000"/>
        </w:rPr>
      </w:pPr>
    </w:p>
    <w:p>
      <w:pPr>
        <w:pStyle w:val="3"/>
        <w:rPr>
          <w:rFonts w:ascii="Times New Roman" w:hAnsi="Times New Roman"/>
          <w:color w:val="000000"/>
        </w:rPr>
      </w:pPr>
      <w:bookmarkStart w:id="370" w:name="_Toc492300418"/>
      <w:r>
        <w:rPr>
          <w:rFonts w:ascii="Times New Roman" w:hAnsi="Times New Roman"/>
          <w:color w:val="000000"/>
        </w:rPr>
        <w:t>1. 评标方法</w:t>
      </w:r>
      <w:bookmarkEnd w:id="370"/>
    </w:p>
    <w:p>
      <w:pPr>
        <w:spacing w:line="360" w:lineRule="auto"/>
        <w:ind w:firstLine="420" w:firstLineChars="200"/>
        <w:rPr>
          <w:rFonts w:ascii="Times New Roman" w:hAnsi="Times New Roman"/>
          <w:color w:val="000000"/>
        </w:rPr>
      </w:pPr>
      <w:r>
        <w:rPr>
          <w:rFonts w:ascii="Times New Roman" w:hAnsi="Times New Roman"/>
          <w:color w:val="000000"/>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w:t>
      </w:r>
      <w:bookmarkStart w:id="371" w:name="_Toc144974565"/>
      <w:bookmarkStart w:id="372" w:name="_Toc152042375"/>
      <w:bookmarkStart w:id="373" w:name="_Toc247527623"/>
      <w:bookmarkStart w:id="374" w:name="_Toc300835008"/>
      <w:bookmarkStart w:id="375" w:name="_Toc152045598"/>
      <w:bookmarkStart w:id="376" w:name="_Toc361508646"/>
      <w:bookmarkStart w:id="377" w:name="_Toc247514022"/>
      <w:bookmarkStart w:id="378" w:name="_Toc384308272"/>
      <w:bookmarkStart w:id="379" w:name="_Toc352691533"/>
      <w:bookmarkStart w:id="380" w:name="_Toc4497"/>
      <w:bookmarkStart w:id="381" w:name="_Toc369531577"/>
      <w:r>
        <w:rPr>
          <w:rFonts w:ascii="Times New Roman" w:hAnsi="Times New Roman"/>
          <w:color w:val="000000"/>
        </w:rPr>
        <w:t>外。综合评分相等</w:t>
      </w:r>
      <w:bookmarkEnd w:id="371"/>
      <w:bookmarkEnd w:id="372"/>
      <w:bookmarkEnd w:id="373"/>
      <w:bookmarkEnd w:id="374"/>
      <w:bookmarkEnd w:id="375"/>
      <w:bookmarkEnd w:id="376"/>
      <w:bookmarkEnd w:id="377"/>
      <w:bookmarkEnd w:id="378"/>
      <w:r>
        <w:rPr>
          <w:rFonts w:ascii="Times New Roman" w:hAnsi="Times New Roman"/>
          <w:color w:val="000000"/>
        </w:rPr>
        <w:t>时，以投标报价低的</w:t>
      </w:r>
      <w:bookmarkEnd w:id="379"/>
      <w:bookmarkEnd w:id="380"/>
      <w:bookmarkEnd w:id="381"/>
      <w:r>
        <w:rPr>
          <w:rFonts w:ascii="Times New Roman" w:hAnsi="Times New Roman"/>
          <w:color w:val="000000"/>
        </w:rPr>
        <w:t>优</w:t>
      </w:r>
      <w:bookmarkStart w:id="382" w:name="_Toc247527624"/>
      <w:bookmarkStart w:id="383" w:name="_Toc369531578"/>
      <w:bookmarkStart w:id="384" w:name="_Toc152045599"/>
      <w:bookmarkStart w:id="385" w:name="_Toc300835009"/>
      <w:bookmarkStart w:id="386" w:name="_Toc39"/>
      <w:bookmarkStart w:id="387" w:name="_Toc247514023"/>
      <w:bookmarkStart w:id="388" w:name="_Toc384308273"/>
      <w:bookmarkStart w:id="389" w:name="_Toc152042376"/>
      <w:bookmarkStart w:id="390" w:name="_Toc352691534"/>
      <w:bookmarkStart w:id="391" w:name="_Toc144974566"/>
      <w:bookmarkStart w:id="392" w:name="_Toc361508647"/>
      <w:r>
        <w:rPr>
          <w:rFonts w:ascii="Times New Roman" w:hAnsi="Times New Roman"/>
          <w:color w:val="000000"/>
        </w:rPr>
        <w:t>先；投标报价也相等</w:t>
      </w:r>
      <w:bookmarkEnd w:id="382"/>
      <w:bookmarkEnd w:id="383"/>
      <w:bookmarkEnd w:id="384"/>
      <w:bookmarkEnd w:id="385"/>
      <w:bookmarkEnd w:id="386"/>
      <w:bookmarkEnd w:id="387"/>
      <w:bookmarkEnd w:id="388"/>
      <w:bookmarkEnd w:id="389"/>
      <w:bookmarkEnd w:id="390"/>
      <w:bookmarkEnd w:id="391"/>
      <w:bookmarkEnd w:id="392"/>
      <w:r>
        <w:rPr>
          <w:rFonts w:ascii="Times New Roman" w:hAnsi="Times New Roman"/>
          <w:color w:val="000000"/>
        </w:rPr>
        <w:t>的</w:t>
      </w:r>
      <w:r>
        <w:rPr>
          <w:rFonts w:hint="eastAsia" w:ascii="Times New Roman" w:hAnsi="Times New Roman"/>
          <w:color w:val="000000"/>
        </w:rPr>
        <w:t>，以</w:t>
      </w:r>
      <w:r>
        <w:rPr>
          <w:rFonts w:ascii="Times New Roman" w:hAnsi="Times New Roman"/>
          <w:color w:val="000000"/>
        </w:rPr>
        <w:t>设计方案得分高的优先</w:t>
      </w:r>
      <w:r>
        <w:rPr>
          <w:rFonts w:hint="eastAsia" w:ascii="Times New Roman" w:hAnsi="Times New Roman"/>
          <w:color w:val="000000"/>
        </w:rPr>
        <w:t>；</w:t>
      </w:r>
      <w:r>
        <w:rPr>
          <w:rFonts w:ascii="Times New Roman" w:hAnsi="Times New Roman"/>
          <w:color w:val="000000"/>
        </w:rPr>
        <w:t>如果设计方案得分也相</w:t>
      </w:r>
      <w:r>
        <w:rPr>
          <w:rFonts w:hint="eastAsia" w:ascii="Times New Roman" w:hAnsi="Times New Roman"/>
          <w:color w:val="000000"/>
        </w:rPr>
        <w:t>等</w:t>
      </w:r>
      <w:r>
        <w:rPr>
          <w:rFonts w:ascii="Times New Roman" w:hAnsi="Times New Roman"/>
          <w:color w:val="000000"/>
        </w:rPr>
        <w:t>，按照评标办法前附表的规定确定中标候选人顺序。</w:t>
      </w:r>
    </w:p>
    <w:p>
      <w:pPr>
        <w:pStyle w:val="3"/>
        <w:rPr>
          <w:rFonts w:ascii="Times New Roman" w:hAnsi="Times New Roman"/>
          <w:color w:val="000000"/>
        </w:rPr>
      </w:pPr>
      <w:bookmarkStart w:id="393" w:name="_Toc492300419"/>
      <w:r>
        <w:rPr>
          <w:rFonts w:ascii="Times New Roman" w:hAnsi="Times New Roman"/>
          <w:color w:val="000000"/>
        </w:rPr>
        <w:t xml:space="preserve">2. </w:t>
      </w:r>
      <w:r>
        <w:rPr>
          <w:rFonts w:hint="eastAsia" w:ascii="Times New Roman" w:hAnsi="Times New Roman"/>
          <w:color w:val="000000"/>
        </w:rPr>
        <w:t>评审标准</w:t>
      </w:r>
      <w:bookmarkEnd w:id="393"/>
    </w:p>
    <w:p>
      <w:pPr>
        <w:pStyle w:val="4"/>
        <w:spacing w:line="240" w:lineRule="auto"/>
        <w:ind w:firstLine="137"/>
        <w:rPr>
          <w:rFonts w:ascii="Times New Roman" w:hAnsi="Times New Roman"/>
          <w:color w:val="000000"/>
        </w:rPr>
      </w:pPr>
      <w:bookmarkStart w:id="394" w:name="_Toc492300420"/>
      <w:r>
        <w:rPr>
          <w:rFonts w:ascii="Times New Roman" w:hAnsi="Times New Roman"/>
          <w:color w:val="000000"/>
        </w:rPr>
        <w:t xml:space="preserve">2.1 </w:t>
      </w:r>
      <w:r>
        <w:rPr>
          <w:rFonts w:hint="eastAsia" w:ascii="Times New Roman" w:hAnsi="Times New Roman"/>
          <w:color w:val="000000"/>
        </w:rPr>
        <w:t>初步评审标准</w:t>
      </w:r>
      <w:bookmarkEnd w:id="394"/>
    </w:p>
    <w:p>
      <w:pPr>
        <w:spacing w:line="400" w:lineRule="exact"/>
        <w:ind w:firstLine="420" w:firstLineChars="200"/>
        <w:rPr>
          <w:rFonts w:ascii="Times New Roman" w:hAnsi="Times New Roman"/>
          <w:color w:val="000000"/>
        </w:rPr>
      </w:pPr>
      <w:r>
        <w:rPr>
          <w:rFonts w:ascii="Times New Roman" w:hAnsi="Times New Roman"/>
          <w:color w:val="000000"/>
        </w:rPr>
        <w:t>2.1.1 形式评审标准：见评标办法前附表。</w:t>
      </w:r>
    </w:p>
    <w:p>
      <w:pPr>
        <w:spacing w:line="400" w:lineRule="exact"/>
        <w:ind w:firstLine="420" w:firstLineChars="200"/>
        <w:rPr>
          <w:rFonts w:ascii="Times New Roman" w:hAnsi="Times New Roman"/>
          <w:color w:val="000000"/>
        </w:rPr>
      </w:pPr>
      <w:r>
        <w:rPr>
          <w:rFonts w:ascii="Times New Roman" w:hAnsi="Times New Roman"/>
          <w:color w:val="000000"/>
        </w:rPr>
        <w:t>2.1.2 资格评审标准：见评标办法前附表。</w:t>
      </w:r>
    </w:p>
    <w:p>
      <w:pPr>
        <w:spacing w:line="400" w:lineRule="exact"/>
        <w:ind w:firstLine="420" w:firstLineChars="200"/>
        <w:rPr>
          <w:rFonts w:ascii="Times New Roman" w:hAnsi="Times New Roman"/>
          <w:color w:val="000000"/>
        </w:rPr>
      </w:pPr>
      <w:r>
        <w:rPr>
          <w:rFonts w:ascii="Times New Roman" w:hAnsi="Times New Roman"/>
          <w:color w:val="000000"/>
        </w:rPr>
        <w:t>2.1.3 响应性评审标准：见评标办法前附表。</w:t>
      </w:r>
    </w:p>
    <w:p>
      <w:pPr>
        <w:pStyle w:val="4"/>
        <w:spacing w:line="240" w:lineRule="auto"/>
        <w:ind w:firstLine="137"/>
        <w:rPr>
          <w:rFonts w:ascii="Times New Roman" w:hAnsi="Times New Roman"/>
          <w:color w:val="000000"/>
        </w:rPr>
      </w:pPr>
      <w:bookmarkStart w:id="395" w:name="_Toc492300421"/>
      <w:r>
        <w:rPr>
          <w:rFonts w:ascii="Times New Roman" w:hAnsi="Times New Roman"/>
          <w:color w:val="000000"/>
        </w:rPr>
        <w:t xml:space="preserve">2.2 </w:t>
      </w:r>
      <w:r>
        <w:rPr>
          <w:rFonts w:hint="eastAsia" w:ascii="Times New Roman" w:hAnsi="Times New Roman"/>
          <w:color w:val="000000"/>
        </w:rPr>
        <w:t>分值构成与评分标准</w:t>
      </w:r>
      <w:bookmarkEnd w:id="395"/>
    </w:p>
    <w:p>
      <w:pPr>
        <w:spacing w:line="400" w:lineRule="exact"/>
        <w:ind w:firstLine="420" w:firstLineChars="200"/>
        <w:rPr>
          <w:rFonts w:ascii="Times New Roman" w:hAnsi="Times New Roman"/>
          <w:color w:val="000000"/>
        </w:rPr>
      </w:pPr>
      <w:r>
        <w:rPr>
          <w:rFonts w:ascii="Times New Roman" w:hAnsi="Times New Roman"/>
          <w:color w:val="000000"/>
        </w:rPr>
        <w:t>2.2.1 分值构成</w:t>
      </w:r>
    </w:p>
    <w:p>
      <w:pPr>
        <w:spacing w:line="400" w:lineRule="exact"/>
        <w:ind w:firstLine="420" w:firstLineChars="200"/>
        <w:rPr>
          <w:rFonts w:ascii="Times New Roman" w:hAnsi="Times New Roman"/>
        </w:rPr>
      </w:pPr>
      <w:r>
        <w:rPr>
          <w:rFonts w:ascii="Times New Roman" w:hAnsi="Times New Roman"/>
        </w:rPr>
        <w:t>（1）资信业绩部分：见评标办法前附表；</w:t>
      </w:r>
    </w:p>
    <w:p>
      <w:pPr>
        <w:spacing w:line="400" w:lineRule="exact"/>
        <w:ind w:firstLine="420" w:firstLineChars="200"/>
        <w:rPr>
          <w:rFonts w:ascii="Times New Roman" w:hAnsi="Times New Roman"/>
        </w:rPr>
      </w:pPr>
      <w:r>
        <w:rPr>
          <w:rFonts w:ascii="Times New Roman" w:hAnsi="Times New Roman"/>
        </w:rPr>
        <w:t>（2）设计方案部分：见评标办法前附表；</w:t>
      </w:r>
    </w:p>
    <w:p>
      <w:pPr>
        <w:spacing w:line="400" w:lineRule="exact"/>
        <w:ind w:firstLine="420" w:firstLineChars="200"/>
        <w:rPr>
          <w:rFonts w:ascii="Times New Roman" w:hAnsi="Times New Roman"/>
        </w:rPr>
      </w:pPr>
      <w:r>
        <w:rPr>
          <w:rFonts w:ascii="Times New Roman" w:hAnsi="Times New Roman"/>
        </w:rPr>
        <w:t>（3）投标报价：见评标办法前附表；</w:t>
      </w:r>
    </w:p>
    <w:p>
      <w:pPr>
        <w:spacing w:line="400" w:lineRule="exact"/>
        <w:ind w:firstLine="420" w:firstLineChars="200"/>
        <w:rPr>
          <w:rFonts w:ascii="Times New Roman" w:hAnsi="Times New Roman"/>
          <w:color w:val="000000"/>
        </w:rPr>
      </w:pPr>
      <w:r>
        <w:rPr>
          <w:rFonts w:ascii="Times New Roman" w:hAnsi="Times New Roman"/>
          <w:color w:val="000000"/>
        </w:rPr>
        <w:t>（4）其他评分因素：见评标办法前附表。</w:t>
      </w:r>
    </w:p>
    <w:p>
      <w:pPr>
        <w:spacing w:line="400" w:lineRule="exact"/>
        <w:ind w:firstLine="420" w:firstLineChars="200"/>
        <w:rPr>
          <w:rFonts w:ascii="Times New Roman" w:hAnsi="Times New Roman"/>
          <w:color w:val="000000"/>
        </w:rPr>
      </w:pPr>
      <w:r>
        <w:rPr>
          <w:rFonts w:ascii="Times New Roman" w:hAnsi="Times New Roman"/>
          <w:color w:val="000000"/>
        </w:rPr>
        <w:t>2.2.2 评标基准价计算</w:t>
      </w:r>
    </w:p>
    <w:p>
      <w:pPr>
        <w:spacing w:line="400" w:lineRule="exact"/>
        <w:ind w:firstLine="420" w:firstLineChars="200"/>
        <w:rPr>
          <w:rFonts w:ascii="Times New Roman" w:hAnsi="Times New Roman"/>
          <w:color w:val="000000"/>
        </w:rPr>
      </w:pPr>
      <w:r>
        <w:rPr>
          <w:rFonts w:ascii="Times New Roman" w:hAnsi="Times New Roman"/>
          <w:color w:val="000000"/>
        </w:rPr>
        <w:t>评标基准价计算方法：见评标办法前附表。</w:t>
      </w:r>
    </w:p>
    <w:p>
      <w:pPr>
        <w:spacing w:line="400" w:lineRule="exact"/>
        <w:ind w:firstLine="420" w:firstLineChars="200"/>
        <w:rPr>
          <w:rFonts w:ascii="Times New Roman" w:hAnsi="Times New Roman"/>
          <w:color w:val="000000"/>
        </w:rPr>
      </w:pPr>
      <w:r>
        <w:rPr>
          <w:rFonts w:ascii="Times New Roman" w:hAnsi="Times New Roman"/>
          <w:color w:val="000000"/>
        </w:rPr>
        <w:t>2.2.3 投标报价的偏差率计算</w:t>
      </w:r>
    </w:p>
    <w:p>
      <w:pPr>
        <w:spacing w:line="400" w:lineRule="exact"/>
        <w:ind w:firstLine="420" w:firstLineChars="200"/>
        <w:rPr>
          <w:rFonts w:ascii="Times New Roman" w:hAnsi="Times New Roman"/>
          <w:color w:val="000000"/>
        </w:rPr>
      </w:pPr>
      <w:r>
        <w:rPr>
          <w:rFonts w:ascii="Times New Roman" w:hAnsi="Times New Roman"/>
          <w:color w:val="000000"/>
        </w:rPr>
        <w:t>投标报价的偏差率计算公式：见评标办法前附表。</w:t>
      </w:r>
    </w:p>
    <w:p>
      <w:pPr>
        <w:spacing w:line="400" w:lineRule="exact"/>
        <w:ind w:firstLine="420" w:firstLineChars="200"/>
        <w:rPr>
          <w:rFonts w:ascii="Times New Roman" w:hAnsi="Times New Roman"/>
          <w:color w:val="000000"/>
        </w:rPr>
      </w:pPr>
      <w:r>
        <w:rPr>
          <w:rFonts w:ascii="Times New Roman" w:hAnsi="Times New Roman"/>
          <w:color w:val="000000"/>
        </w:rPr>
        <w:t>2.2.4 评分标准</w:t>
      </w:r>
    </w:p>
    <w:p>
      <w:pPr>
        <w:spacing w:line="400" w:lineRule="exact"/>
        <w:ind w:firstLine="420" w:firstLineChars="200"/>
        <w:rPr>
          <w:rFonts w:ascii="Times New Roman" w:hAnsi="Times New Roman"/>
        </w:rPr>
      </w:pPr>
      <w:r>
        <w:rPr>
          <w:rFonts w:ascii="Times New Roman" w:hAnsi="Times New Roman"/>
        </w:rPr>
        <w:t>（1）资信业绩评分标准：见评标办法前附表；</w:t>
      </w:r>
    </w:p>
    <w:p>
      <w:pPr>
        <w:spacing w:line="400" w:lineRule="exact"/>
        <w:ind w:firstLine="420" w:firstLineChars="200"/>
        <w:rPr>
          <w:rFonts w:ascii="Times New Roman" w:hAnsi="Times New Roman"/>
        </w:rPr>
      </w:pPr>
      <w:r>
        <w:rPr>
          <w:rFonts w:ascii="Times New Roman" w:hAnsi="Times New Roman"/>
        </w:rPr>
        <w:t>（2）设计方案评分标准：见评标办法前附表；</w:t>
      </w:r>
    </w:p>
    <w:p>
      <w:pPr>
        <w:spacing w:line="400" w:lineRule="exact"/>
        <w:ind w:firstLine="420" w:firstLineChars="200"/>
        <w:rPr>
          <w:rFonts w:ascii="Times New Roman" w:hAnsi="Times New Roman"/>
        </w:rPr>
      </w:pPr>
      <w:r>
        <w:rPr>
          <w:rFonts w:ascii="Times New Roman" w:hAnsi="Times New Roman"/>
        </w:rPr>
        <w:t>（3）投标报价评分标准：见评标办法前附表；</w:t>
      </w:r>
    </w:p>
    <w:p>
      <w:pPr>
        <w:spacing w:line="400" w:lineRule="exact"/>
        <w:ind w:firstLine="420" w:firstLineChars="200"/>
        <w:rPr>
          <w:rFonts w:ascii="Times New Roman" w:hAnsi="Times New Roman"/>
        </w:rPr>
      </w:pPr>
      <w:r>
        <w:rPr>
          <w:rFonts w:ascii="Times New Roman" w:hAnsi="Times New Roman"/>
        </w:rPr>
        <w:t>（4）其他因素评分标准：见评标办法前附表。</w:t>
      </w:r>
    </w:p>
    <w:p>
      <w:pPr>
        <w:pStyle w:val="3"/>
        <w:rPr>
          <w:rFonts w:ascii="Times New Roman" w:hAnsi="Times New Roman"/>
          <w:color w:val="000000"/>
        </w:rPr>
      </w:pPr>
      <w:bookmarkStart w:id="396" w:name="_Toc492300422"/>
      <w:r>
        <w:rPr>
          <w:rFonts w:ascii="Times New Roman" w:hAnsi="Times New Roman"/>
          <w:color w:val="000000"/>
        </w:rPr>
        <w:t xml:space="preserve">3. </w:t>
      </w:r>
      <w:r>
        <w:rPr>
          <w:rFonts w:hint="eastAsia" w:ascii="Times New Roman" w:hAnsi="Times New Roman"/>
          <w:color w:val="000000"/>
        </w:rPr>
        <w:t>评标程序</w:t>
      </w:r>
      <w:bookmarkEnd w:id="396"/>
    </w:p>
    <w:p>
      <w:pPr>
        <w:pStyle w:val="4"/>
        <w:spacing w:line="240" w:lineRule="auto"/>
        <w:ind w:firstLine="137"/>
        <w:rPr>
          <w:rFonts w:ascii="Times New Roman" w:hAnsi="Times New Roman"/>
          <w:color w:val="000000"/>
        </w:rPr>
      </w:pPr>
      <w:bookmarkStart w:id="397" w:name="_Toc492300423"/>
      <w:r>
        <w:rPr>
          <w:rFonts w:ascii="Times New Roman" w:hAnsi="Times New Roman"/>
          <w:color w:val="000000"/>
        </w:rPr>
        <w:t xml:space="preserve">3.1 </w:t>
      </w:r>
      <w:r>
        <w:rPr>
          <w:rFonts w:hint="eastAsia" w:ascii="Times New Roman" w:hAnsi="Times New Roman"/>
          <w:color w:val="000000"/>
        </w:rPr>
        <w:t>初步评审</w:t>
      </w:r>
      <w:bookmarkEnd w:id="397"/>
    </w:p>
    <w:p>
      <w:pPr>
        <w:spacing w:line="400" w:lineRule="exact"/>
        <w:ind w:firstLine="420" w:firstLineChars="200"/>
        <w:rPr>
          <w:rFonts w:ascii="Times New Roman" w:hAnsi="Times New Roman"/>
          <w:color w:val="000000"/>
        </w:rPr>
      </w:pPr>
      <w:r>
        <w:rPr>
          <w:rFonts w:ascii="Times New Roman" w:hAnsi="Times New Roman"/>
          <w:color w:val="000000"/>
        </w:rPr>
        <w:t>3.1.1 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spacing w:line="400" w:lineRule="exact"/>
        <w:ind w:firstLine="420" w:firstLineChars="200"/>
        <w:rPr>
          <w:rFonts w:ascii="Times New Roman" w:hAnsi="Times New Roman"/>
          <w:color w:val="000000"/>
        </w:rPr>
      </w:pPr>
      <w:r>
        <w:rPr>
          <w:rFonts w:ascii="Times New Roman" w:hAnsi="Times New Roman"/>
          <w:color w:val="000000"/>
        </w:rPr>
        <w:t>3.1.2 投标人有以下情形之一的，评标委员会应当否决其投标：</w:t>
      </w:r>
    </w:p>
    <w:p>
      <w:pPr>
        <w:spacing w:line="400" w:lineRule="exact"/>
        <w:ind w:firstLine="420" w:firstLineChars="200"/>
        <w:rPr>
          <w:rFonts w:ascii="Times New Roman" w:hAnsi="Times New Roman"/>
          <w:color w:val="000000"/>
        </w:rPr>
      </w:pPr>
      <w:r>
        <w:rPr>
          <w:rFonts w:ascii="Times New Roman" w:hAnsi="Times New Roman"/>
          <w:color w:val="000000"/>
        </w:rPr>
        <w:t>（1）投标文件没有对招标文件的实质性要求和条件作出响应，或者对招标文件的偏差超出招标文件规定的偏差范围或最高项数；</w:t>
      </w:r>
    </w:p>
    <w:p>
      <w:pPr>
        <w:spacing w:line="400" w:lineRule="exact"/>
        <w:ind w:firstLine="420" w:firstLineChars="200"/>
        <w:rPr>
          <w:rFonts w:ascii="Times New Roman" w:hAnsi="Times New Roman"/>
          <w:color w:val="000000"/>
        </w:rPr>
      </w:pPr>
      <w:r>
        <w:rPr>
          <w:rFonts w:ascii="Times New Roman" w:hAnsi="Times New Roman"/>
          <w:color w:val="000000"/>
        </w:rPr>
        <w:t>（2）有串通投标、弄虚作假、行贿等违法行为。</w:t>
      </w:r>
    </w:p>
    <w:p>
      <w:pPr>
        <w:spacing w:line="400" w:lineRule="exact"/>
        <w:ind w:firstLine="420" w:firstLineChars="200"/>
        <w:rPr>
          <w:rFonts w:ascii="Times New Roman" w:hAnsi="Times New Roman"/>
          <w:color w:val="000000"/>
        </w:rPr>
      </w:pPr>
      <w:r>
        <w:rPr>
          <w:rFonts w:ascii="Times New Roman" w:hAnsi="Times New Roman"/>
          <w:color w:val="000000"/>
        </w:rPr>
        <w:t>3.1.3 投标报价有算术错误及其他错误的，评标委员会按以下原则要求投标人对投标报价进</w:t>
      </w:r>
      <w:bookmarkStart w:id="398" w:name="_Toc152045603"/>
      <w:bookmarkStart w:id="399" w:name="_Toc247514027"/>
      <w:bookmarkStart w:id="400" w:name="_Toc352691538"/>
      <w:bookmarkStart w:id="401" w:name="_Toc384308277"/>
      <w:bookmarkStart w:id="402" w:name="_Toc144974570"/>
      <w:bookmarkStart w:id="403" w:name="_Toc300835013"/>
      <w:bookmarkStart w:id="404" w:name="_Toc361508651"/>
      <w:bookmarkStart w:id="405" w:name="_Toc152042380"/>
      <w:bookmarkStart w:id="406" w:name="_Toc2907"/>
      <w:bookmarkStart w:id="407" w:name="_Toc247527628"/>
      <w:bookmarkStart w:id="408" w:name="_Toc369531582"/>
      <w:r>
        <w:rPr>
          <w:rFonts w:ascii="Times New Roman" w:hAnsi="Times New Roman"/>
          <w:color w:val="000000"/>
        </w:rPr>
        <w:t>行修正，并要求投标人书面澄清确认。</w:t>
      </w:r>
      <w:bookmarkEnd w:id="398"/>
      <w:bookmarkEnd w:id="399"/>
      <w:bookmarkEnd w:id="400"/>
      <w:bookmarkEnd w:id="401"/>
      <w:bookmarkEnd w:id="402"/>
      <w:bookmarkEnd w:id="403"/>
      <w:bookmarkEnd w:id="404"/>
      <w:bookmarkEnd w:id="405"/>
      <w:bookmarkEnd w:id="406"/>
      <w:bookmarkEnd w:id="407"/>
      <w:bookmarkEnd w:id="408"/>
      <w:r>
        <w:rPr>
          <w:rFonts w:ascii="Times New Roman" w:hAnsi="Times New Roman"/>
          <w:color w:val="000000"/>
        </w:rPr>
        <w:t>投标人拒不澄清确认的，评标委员会应当否决其投标：</w:t>
      </w:r>
    </w:p>
    <w:p>
      <w:pPr>
        <w:spacing w:line="400" w:lineRule="exact"/>
        <w:ind w:firstLine="420" w:firstLineChars="200"/>
        <w:rPr>
          <w:rFonts w:ascii="Times New Roman" w:hAnsi="Times New Roman"/>
          <w:color w:val="000000"/>
        </w:rPr>
      </w:pPr>
      <w:r>
        <w:rPr>
          <w:rFonts w:ascii="Times New Roman" w:hAnsi="Times New Roman"/>
          <w:color w:val="000000"/>
        </w:rPr>
        <w:t>（1）投标文件中的大写金额与小写金额不一致的，以大写金额为准；</w:t>
      </w:r>
    </w:p>
    <w:p>
      <w:pPr>
        <w:spacing w:line="400" w:lineRule="exact"/>
        <w:ind w:firstLine="420" w:firstLineChars="200"/>
        <w:rPr>
          <w:rFonts w:ascii="Times New Roman" w:hAnsi="Times New Roman"/>
          <w:color w:val="000000"/>
        </w:rPr>
      </w:pPr>
      <w:r>
        <w:rPr>
          <w:rFonts w:ascii="Times New Roman" w:hAnsi="Times New Roman"/>
          <w:color w:val="000000"/>
        </w:rPr>
        <w:t>（2）总价金额与单价金额不一致的，以单价金额为准，但单价金额小数点有明显错误的除外</w:t>
      </w:r>
      <w:r>
        <w:rPr>
          <w:rFonts w:hint="eastAsia" w:ascii="Times New Roman" w:hAnsi="Times New Roman"/>
          <w:color w:val="000000"/>
        </w:rPr>
        <w:t>。</w:t>
      </w:r>
    </w:p>
    <w:p>
      <w:pPr>
        <w:pStyle w:val="4"/>
        <w:spacing w:line="240" w:lineRule="auto"/>
        <w:ind w:firstLine="137"/>
        <w:rPr>
          <w:rFonts w:ascii="Times New Roman" w:hAnsi="Times New Roman"/>
          <w:color w:val="000000"/>
        </w:rPr>
      </w:pPr>
      <w:bookmarkStart w:id="409" w:name="_Toc492300424"/>
      <w:r>
        <w:rPr>
          <w:rFonts w:ascii="Times New Roman" w:hAnsi="Times New Roman"/>
          <w:color w:val="000000"/>
        </w:rPr>
        <w:t xml:space="preserve">3.2 </w:t>
      </w:r>
      <w:r>
        <w:rPr>
          <w:rFonts w:hint="eastAsia" w:ascii="Times New Roman" w:hAnsi="Times New Roman"/>
          <w:color w:val="000000"/>
        </w:rPr>
        <w:t>详细评审</w:t>
      </w:r>
      <w:bookmarkEnd w:id="409"/>
    </w:p>
    <w:p>
      <w:pPr>
        <w:spacing w:line="400" w:lineRule="exact"/>
        <w:ind w:firstLine="420" w:firstLineChars="200"/>
        <w:rPr>
          <w:rFonts w:ascii="Times New Roman" w:hAnsi="Times New Roman"/>
          <w:color w:val="000000"/>
        </w:rPr>
      </w:pPr>
      <w:r>
        <w:rPr>
          <w:rFonts w:ascii="Times New Roman" w:hAnsi="Times New Roman"/>
          <w:color w:val="000000"/>
        </w:rPr>
        <w:t>3.2.1 评标委员会按本章第2.2款规定的量化因素和分值进行打分，并计算出综合评估得分。</w:t>
      </w:r>
    </w:p>
    <w:p>
      <w:pPr>
        <w:spacing w:line="400" w:lineRule="exact"/>
        <w:ind w:firstLine="420" w:firstLineChars="200"/>
        <w:rPr>
          <w:rFonts w:ascii="Times New Roman" w:hAnsi="Times New Roman"/>
          <w:color w:val="000000"/>
        </w:rPr>
      </w:pPr>
      <w:r>
        <w:rPr>
          <w:rFonts w:ascii="Times New Roman" w:hAnsi="Times New Roman"/>
          <w:color w:val="000000"/>
        </w:rPr>
        <w:t>（1）按本章第2.2.4（1）目规定的评审因素和分值对资信业绩部分计算出得分A；</w:t>
      </w:r>
    </w:p>
    <w:p>
      <w:pPr>
        <w:spacing w:line="400" w:lineRule="exact"/>
        <w:ind w:firstLine="420" w:firstLineChars="200"/>
        <w:rPr>
          <w:rFonts w:ascii="Times New Roman" w:hAnsi="Times New Roman"/>
          <w:color w:val="000000"/>
        </w:rPr>
      </w:pPr>
      <w:r>
        <w:rPr>
          <w:rFonts w:ascii="Times New Roman" w:hAnsi="Times New Roman"/>
          <w:color w:val="000000"/>
        </w:rPr>
        <w:t>（2）按本章第2.2.4（2）目规定的评审因素和分值对设计方案部分计算出得分B；</w:t>
      </w:r>
    </w:p>
    <w:p>
      <w:pPr>
        <w:spacing w:line="400" w:lineRule="exact"/>
        <w:ind w:firstLine="420" w:firstLineChars="200"/>
        <w:rPr>
          <w:rFonts w:ascii="Times New Roman" w:hAnsi="Times New Roman"/>
          <w:color w:val="000000"/>
        </w:rPr>
      </w:pPr>
      <w:r>
        <w:rPr>
          <w:rFonts w:ascii="Times New Roman" w:hAnsi="Times New Roman"/>
          <w:color w:val="000000"/>
        </w:rPr>
        <w:t>（3）按本章第2.2.4（3）目规定的评审因素和</w:t>
      </w:r>
      <w:bookmarkStart w:id="410" w:name="_Toc300835014"/>
      <w:bookmarkStart w:id="411" w:name="_Toc152042381"/>
      <w:bookmarkStart w:id="412" w:name="_Toc247514028"/>
      <w:bookmarkStart w:id="413" w:name="_Toc384308278"/>
      <w:bookmarkStart w:id="414" w:name="_Toc152045604"/>
      <w:bookmarkStart w:id="415" w:name="_Toc24330"/>
      <w:bookmarkStart w:id="416" w:name="_Toc247527629"/>
      <w:bookmarkStart w:id="417" w:name="_Toc369531583"/>
      <w:bookmarkStart w:id="418" w:name="_Toc352691539"/>
      <w:bookmarkStart w:id="419" w:name="_Toc361508652"/>
      <w:bookmarkStart w:id="420" w:name="_Toc144974571"/>
      <w:r>
        <w:rPr>
          <w:rFonts w:ascii="Times New Roman" w:hAnsi="Times New Roman"/>
          <w:color w:val="000000"/>
        </w:rPr>
        <w:t>分值对</w:t>
      </w:r>
      <w:r>
        <w:rPr>
          <w:rFonts w:ascii="Times New Roman" w:hAnsi="Times New Roman"/>
        </w:rPr>
        <w:t>投标报价</w:t>
      </w:r>
      <w:bookmarkEnd w:id="410"/>
      <w:bookmarkEnd w:id="411"/>
      <w:bookmarkEnd w:id="412"/>
      <w:bookmarkEnd w:id="413"/>
      <w:bookmarkEnd w:id="414"/>
      <w:bookmarkEnd w:id="415"/>
      <w:bookmarkEnd w:id="416"/>
      <w:bookmarkEnd w:id="417"/>
      <w:bookmarkEnd w:id="418"/>
      <w:bookmarkEnd w:id="419"/>
      <w:bookmarkEnd w:id="420"/>
      <w:r>
        <w:rPr>
          <w:rFonts w:ascii="Times New Roman" w:hAnsi="Times New Roman"/>
          <w:color w:val="000000"/>
        </w:rPr>
        <w:t>计</w:t>
      </w:r>
      <w:bookmarkStart w:id="421" w:name="_Toc384308279"/>
      <w:bookmarkStart w:id="422" w:name="_Toc144974572"/>
      <w:bookmarkStart w:id="423" w:name="_Toc247514029"/>
      <w:bookmarkStart w:id="424" w:name="_Toc369531584"/>
      <w:bookmarkStart w:id="425" w:name="_Toc152042382"/>
      <w:bookmarkStart w:id="426" w:name="_Toc352691540"/>
      <w:bookmarkStart w:id="427" w:name="_Toc152045605"/>
      <w:bookmarkStart w:id="428" w:name="_Toc18141"/>
      <w:bookmarkStart w:id="429" w:name="_Toc247527630"/>
      <w:bookmarkStart w:id="430" w:name="_Toc361508653"/>
      <w:bookmarkStart w:id="431" w:name="_Toc300835015"/>
      <w:r>
        <w:rPr>
          <w:rFonts w:ascii="Times New Roman" w:hAnsi="Times New Roman"/>
          <w:color w:val="000000"/>
        </w:rPr>
        <w:t>算出得分C；</w:t>
      </w:r>
    </w:p>
    <w:p>
      <w:pPr>
        <w:spacing w:line="400" w:lineRule="exact"/>
        <w:ind w:firstLine="420" w:firstLineChars="200"/>
        <w:rPr>
          <w:rFonts w:ascii="Times New Roman" w:hAnsi="Times New Roman"/>
          <w:color w:val="000000"/>
        </w:rPr>
      </w:pPr>
      <w:r>
        <w:rPr>
          <w:rFonts w:ascii="Times New Roman" w:hAnsi="Times New Roman"/>
          <w:color w:val="000000"/>
        </w:rPr>
        <w:t>（</w:t>
      </w:r>
      <w:bookmarkEnd w:id="421"/>
      <w:bookmarkEnd w:id="422"/>
      <w:bookmarkEnd w:id="423"/>
      <w:bookmarkEnd w:id="424"/>
      <w:bookmarkEnd w:id="425"/>
      <w:bookmarkEnd w:id="426"/>
      <w:bookmarkEnd w:id="427"/>
      <w:bookmarkEnd w:id="428"/>
      <w:bookmarkEnd w:id="429"/>
      <w:bookmarkEnd w:id="430"/>
      <w:bookmarkEnd w:id="431"/>
      <w:r>
        <w:rPr>
          <w:rFonts w:ascii="Times New Roman" w:hAnsi="Times New Roman"/>
          <w:color w:val="000000"/>
        </w:rPr>
        <w:t>4）按本章第2.2.4（4）目规定的评审因素和分值对其他部分计算出得分D。</w:t>
      </w:r>
    </w:p>
    <w:p>
      <w:pPr>
        <w:spacing w:line="400" w:lineRule="exact"/>
        <w:ind w:firstLine="420" w:firstLineChars="200"/>
        <w:rPr>
          <w:rFonts w:ascii="Times New Roman" w:hAnsi="Times New Roman"/>
          <w:color w:val="000000"/>
        </w:rPr>
      </w:pPr>
      <w:r>
        <w:rPr>
          <w:rFonts w:ascii="Times New Roman" w:hAnsi="Times New Roman"/>
          <w:color w:val="000000"/>
        </w:rPr>
        <w:t>3.2.2 评分分值计算保留小数点后两位，小数点后第三位“四舍五入”。</w:t>
      </w:r>
    </w:p>
    <w:p>
      <w:pPr>
        <w:spacing w:line="400" w:lineRule="exact"/>
        <w:ind w:firstLine="420" w:firstLineChars="200"/>
        <w:rPr>
          <w:rFonts w:ascii="Times New Roman" w:hAnsi="Times New Roman"/>
          <w:color w:val="000000"/>
        </w:rPr>
      </w:pPr>
      <w:r>
        <w:rPr>
          <w:rFonts w:ascii="Times New Roman" w:hAnsi="Times New Roman"/>
          <w:color w:val="000000"/>
        </w:rPr>
        <w:t>3.2.3 投标人得分=A+B+C+D。</w:t>
      </w:r>
    </w:p>
    <w:p>
      <w:pPr>
        <w:spacing w:line="400" w:lineRule="exact"/>
        <w:ind w:firstLine="420" w:firstLineChars="200"/>
        <w:rPr>
          <w:rFonts w:ascii="Times New Roman" w:hAnsi="Times New Roman"/>
          <w:color w:val="000000"/>
        </w:rPr>
      </w:pPr>
      <w:r>
        <w:rPr>
          <w:rFonts w:ascii="Times New Roman" w:hAnsi="Times New Roman"/>
          <w:color w:val="000000"/>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pStyle w:val="4"/>
        <w:spacing w:line="240" w:lineRule="auto"/>
        <w:ind w:firstLine="137"/>
        <w:rPr>
          <w:rFonts w:ascii="Times New Roman" w:hAnsi="Times New Roman"/>
          <w:color w:val="000000"/>
        </w:rPr>
      </w:pPr>
      <w:bookmarkStart w:id="432" w:name="_Toc492300425"/>
      <w:r>
        <w:rPr>
          <w:rFonts w:ascii="Times New Roman" w:hAnsi="Times New Roman"/>
          <w:color w:val="000000"/>
        </w:rPr>
        <w:t xml:space="preserve">3.3 </w:t>
      </w:r>
      <w:r>
        <w:rPr>
          <w:rFonts w:hint="eastAsia" w:ascii="Times New Roman" w:hAnsi="Times New Roman"/>
          <w:color w:val="000000"/>
        </w:rPr>
        <w:t>投标文件的澄清</w:t>
      </w:r>
      <w:bookmarkEnd w:id="432"/>
    </w:p>
    <w:p>
      <w:pPr>
        <w:spacing w:line="400" w:lineRule="exact"/>
        <w:ind w:firstLine="420" w:firstLineChars="200"/>
        <w:rPr>
          <w:rFonts w:ascii="Times New Roman" w:hAnsi="Times New Roman"/>
          <w:color w:val="000000"/>
        </w:rPr>
      </w:pPr>
      <w:r>
        <w:rPr>
          <w:rFonts w:ascii="Times New Roman" w:hAnsi="Times New Roman"/>
          <w:color w:val="000000"/>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spacing w:line="400" w:lineRule="exact"/>
        <w:ind w:firstLine="420" w:firstLineChars="200"/>
        <w:rPr>
          <w:rFonts w:ascii="Times New Roman" w:hAnsi="Times New Roman"/>
          <w:color w:val="000000"/>
        </w:rPr>
      </w:pPr>
      <w:r>
        <w:rPr>
          <w:rFonts w:ascii="Times New Roman" w:hAnsi="Times New Roman"/>
          <w:color w:val="000000"/>
        </w:rPr>
        <w:t>3.3.2 澄清、说明或补正不得超出投标文件的范围且不得改变投标文件的实质性内容，并构成投标文件的组成部分。</w:t>
      </w:r>
    </w:p>
    <w:p>
      <w:pPr>
        <w:spacing w:line="400" w:lineRule="exact"/>
        <w:ind w:firstLine="420" w:firstLineChars="200"/>
        <w:rPr>
          <w:rFonts w:ascii="Times New Roman" w:hAnsi="Times New Roman"/>
          <w:color w:val="000000"/>
        </w:rPr>
      </w:pPr>
      <w:r>
        <w:rPr>
          <w:rFonts w:ascii="Times New Roman" w:hAnsi="Times New Roman"/>
          <w:color w:val="000000"/>
        </w:rPr>
        <w:t>3.3.3 评标委员会对投标人提交的澄清、说明或补正有疑问的，可以要求投标人进一步澄清、说明或补正，直至满足评标委员会的要求。</w:t>
      </w:r>
    </w:p>
    <w:p>
      <w:pPr>
        <w:pStyle w:val="4"/>
        <w:spacing w:line="240" w:lineRule="auto"/>
        <w:ind w:firstLine="137"/>
        <w:rPr>
          <w:rFonts w:ascii="Times New Roman" w:hAnsi="Times New Roman"/>
          <w:color w:val="000000"/>
        </w:rPr>
      </w:pPr>
      <w:bookmarkStart w:id="433" w:name="_Toc492300426"/>
      <w:r>
        <w:rPr>
          <w:rFonts w:ascii="Times New Roman" w:hAnsi="Times New Roman"/>
          <w:color w:val="000000"/>
        </w:rPr>
        <w:t xml:space="preserve">3.4 </w:t>
      </w:r>
      <w:r>
        <w:rPr>
          <w:rFonts w:hint="eastAsia" w:ascii="Times New Roman" w:hAnsi="Times New Roman"/>
          <w:color w:val="000000"/>
        </w:rPr>
        <w:t>评标结果</w:t>
      </w:r>
      <w:bookmarkEnd w:id="433"/>
    </w:p>
    <w:p>
      <w:pPr>
        <w:spacing w:line="400" w:lineRule="exact"/>
        <w:ind w:firstLine="420" w:firstLineChars="200"/>
        <w:rPr>
          <w:rFonts w:ascii="Times New Roman" w:hAnsi="Times New Roman"/>
          <w:color w:val="000000"/>
        </w:rPr>
      </w:pPr>
      <w:r>
        <w:rPr>
          <w:rFonts w:ascii="Times New Roman" w:hAnsi="Times New Roman"/>
          <w:color w:val="000000"/>
        </w:rPr>
        <w:t>3.4.1 除第二章“投标人须知”前附表授权直接确定中标人外，评标委员会按照得分由高到低的顺序推荐中标候选人，并标明排序。</w:t>
      </w:r>
    </w:p>
    <w:p>
      <w:pPr>
        <w:spacing w:line="400" w:lineRule="exact"/>
        <w:ind w:firstLine="420" w:firstLineChars="200"/>
        <w:rPr>
          <w:rFonts w:ascii="Times New Roman" w:hAnsi="Times New Roman"/>
          <w:color w:val="000000"/>
        </w:rPr>
      </w:pPr>
      <w:r>
        <w:rPr>
          <w:rFonts w:ascii="Times New Roman" w:hAnsi="Times New Roman"/>
          <w:color w:val="000000"/>
        </w:rPr>
        <w:t>3.4.2 评标委员会完成评标后，应当向招标人提交书面评标报告和中标候选人名单。</w:t>
      </w:r>
    </w:p>
    <w:p>
      <w:pPr>
        <w:pStyle w:val="2"/>
        <w:pageBreakBefore/>
        <w:rPr>
          <w:color w:val="000000"/>
        </w:rPr>
      </w:pPr>
      <w:bookmarkStart w:id="434" w:name="_Toc492300427"/>
      <w:r>
        <w:rPr>
          <w:rFonts w:hint="eastAsia"/>
          <w:color w:val="000000"/>
        </w:rPr>
        <w:t>合同条款及格式</w:t>
      </w:r>
      <w:bookmarkEnd w:id="434"/>
    </w:p>
    <w:p>
      <w:pPr>
        <w:pStyle w:val="19"/>
        <w:snapToGrid w:val="0"/>
        <w:spacing w:line="400" w:lineRule="atLeast"/>
        <w:ind w:left="0" w:leftChars="0"/>
        <w:rPr>
          <w:rFonts w:eastAsiaTheme="minorEastAsia"/>
          <w:szCs w:val="21"/>
        </w:rPr>
      </w:pPr>
      <w:r>
        <w:rPr>
          <w:rFonts w:hAnsiTheme="minorEastAsia" w:eastAsiaTheme="minorEastAsia"/>
          <w:szCs w:val="21"/>
        </w:rPr>
        <w:t>说明：</w:t>
      </w:r>
    </w:p>
    <w:p>
      <w:pPr>
        <w:spacing w:line="440" w:lineRule="exact"/>
        <w:ind w:firstLine="420" w:firstLineChars="200"/>
        <w:rPr>
          <w:rFonts w:ascii="Times New Roman" w:hAnsi="Times New Roman"/>
          <w:szCs w:val="21"/>
        </w:rPr>
      </w:pPr>
      <w:r>
        <w:rPr>
          <w:rFonts w:ascii="Times New Roman" w:hAnsi="Times New Roman"/>
          <w:szCs w:val="21"/>
        </w:rPr>
        <w:t>《建设工程设计合同示范文本（专业建设工程）》（GF-2015-0210）。</w:t>
      </w:r>
    </w:p>
    <w:p>
      <w:pPr>
        <w:pStyle w:val="2"/>
        <w:pageBreakBefore/>
        <w:rPr>
          <w:color w:val="000000"/>
        </w:rPr>
      </w:pPr>
      <w:r>
        <w:rPr>
          <w:rFonts w:hint="eastAsia"/>
          <w:color w:val="000000"/>
        </w:rPr>
        <w:t>设计任务书</w:t>
      </w:r>
    </w:p>
    <w:p>
      <w:pPr>
        <w:rPr>
          <w:rFonts w:asciiTheme="majorEastAsia" w:hAnsiTheme="majorEastAsia" w:eastAsiaTheme="majorEastAsia"/>
        </w:rPr>
      </w:pPr>
    </w:p>
    <w:p>
      <w:pPr>
        <w:jc w:val="center"/>
        <w:rPr>
          <w:rFonts w:asciiTheme="majorEastAsia" w:hAnsiTheme="majorEastAsia" w:eastAsiaTheme="majorEastAsia"/>
          <w:b/>
          <w:sz w:val="36"/>
          <w:szCs w:val="36"/>
        </w:rPr>
      </w:pPr>
      <w:r>
        <w:rPr>
          <w:rFonts w:hint="eastAsia" w:asciiTheme="majorEastAsia" w:hAnsiTheme="majorEastAsia" w:eastAsiaTheme="majorEastAsia"/>
          <w:b/>
          <w:bCs/>
          <w:color w:val="000000"/>
          <w:sz w:val="36"/>
          <w:szCs w:val="36"/>
        </w:rPr>
        <w:t>亳州公路客运高铁枢纽站项目智能化系统</w:t>
      </w:r>
    </w:p>
    <w:p>
      <w:pPr>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p>
    <w:p>
      <w:pPr>
        <w:ind w:left="-708" w:leftChars="-337" w:firstLine="708" w:firstLineChars="147"/>
        <w:jc w:val="center"/>
        <w:rPr>
          <w:rFonts w:ascii="宋体" w:hAnsi="宋体"/>
          <w:b/>
          <w:sz w:val="48"/>
          <w:szCs w:val="48"/>
        </w:rPr>
      </w:pPr>
      <w:r>
        <w:rPr>
          <w:rFonts w:hint="eastAsia" w:ascii="宋体" w:hAnsi="宋体"/>
          <w:b/>
          <w:sz w:val="48"/>
          <w:szCs w:val="48"/>
        </w:rPr>
        <w:t>设</w:t>
      </w:r>
    </w:p>
    <w:p>
      <w:pPr>
        <w:ind w:left="-708" w:leftChars="-337" w:firstLine="708" w:firstLineChars="147"/>
        <w:jc w:val="center"/>
        <w:rPr>
          <w:rFonts w:ascii="宋体" w:hAnsi="宋体"/>
          <w:b/>
          <w:sz w:val="48"/>
          <w:szCs w:val="48"/>
        </w:rPr>
      </w:pPr>
    </w:p>
    <w:p>
      <w:pPr>
        <w:ind w:left="-708" w:leftChars="-337" w:firstLine="708" w:firstLineChars="147"/>
        <w:jc w:val="center"/>
        <w:rPr>
          <w:rFonts w:ascii="宋体" w:hAnsi="宋体"/>
          <w:b/>
          <w:sz w:val="48"/>
          <w:szCs w:val="48"/>
        </w:rPr>
      </w:pPr>
      <w:r>
        <w:rPr>
          <w:rFonts w:hint="eastAsia" w:ascii="宋体" w:hAnsi="宋体"/>
          <w:b/>
          <w:sz w:val="48"/>
          <w:szCs w:val="48"/>
        </w:rPr>
        <w:t>计</w:t>
      </w:r>
    </w:p>
    <w:p>
      <w:pPr>
        <w:ind w:left="-708" w:leftChars="-337" w:firstLine="708" w:firstLineChars="147"/>
        <w:jc w:val="center"/>
        <w:rPr>
          <w:rFonts w:ascii="宋体" w:hAnsi="宋体"/>
          <w:b/>
          <w:sz w:val="48"/>
          <w:szCs w:val="48"/>
        </w:rPr>
      </w:pPr>
    </w:p>
    <w:p>
      <w:pPr>
        <w:ind w:left="-708" w:leftChars="-337" w:firstLine="708" w:firstLineChars="147"/>
        <w:jc w:val="center"/>
        <w:rPr>
          <w:rFonts w:ascii="宋体" w:hAnsi="宋体"/>
          <w:b/>
          <w:sz w:val="48"/>
          <w:szCs w:val="48"/>
        </w:rPr>
      </w:pPr>
      <w:r>
        <w:rPr>
          <w:rFonts w:hint="eastAsia" w:ascii="宋体" w:hAnsi="宋体"/>
          <w:b/>
          <w:sz w:val="48"/>
          <w:szCs w:val="48"/>
        </w:rPr>
        <w:t>任</w:t>
      </w:r>
    </w:p>
    <w:p>
      <w:pPr>
        <w:ind w:left="-708" w:leftChars="-337" w:firstLine="708" w:firstLineChars="147"/>
        <w:jc w:val="center"/>
        <w:rPr>
          <w:rFonts w:ascii="宋体" w:hAnsi="宋体"/>
          <w:b/>
          <w:sz w:val="48"/>
          <w:szCs w:val="48"/>
        </w:rPr>
      </w:pPr>
    </w:p>
    <w:p>
      <w:pPr>
        <w:ind w:left="-708" w:leftChars="-337" w:firstLine="708" w:firstLineChars="147"/>
        <w:jc w:val="center"/>
        <w:rPr>
          <w:rFonts w:ascii="宋体" w:hAnsi="宋体"/>
          <w:b/>
          <w:sz w:val="48"/>
          <w:szCs w:val="48"/>
        </w:rPr>
      </w:pPr>
      <w:r>
        <w:rPr>
          <w:rFonts w:hint="eastAsia" w:ascii="宋体" w:hAnsi="宋体"/>
          <w:b/>
          <w:sz w:val="48"/>
          <w:szCs w:val="48"/>
        </w:rPr>
        <w:t>务</w:t>
      </w:r>
    </w:p>
    <w:p>
      <w:pPr>
        <w:ind w:left="-708" w:leftChars="-337" w:firstLine="708" w:firstLineChars="147"/>
        <w:jc w:val="center"/>
        <w:rPr>
          <w:rFonts w:ascii="宋体" w:hAnsi="宋体"/>
          <w:b/>
          <w:sz w:val="48"/>
          <w:szCs w:val="48"/>
        </w:rPr>
      </w:pPr>
    </w:p>
    <w:p>
      <w:pPr>
        <w:ind w:left="-708" w:leftChars="-337" w:firstLine="708" w:firstLineChars="147"/>
        <w:jc w:val="center"/>
        <w:rPr>
          <w:rFonts w:ascii="宋体" w:hAnsi="宋体"/>
          <w:b/>
          <w:sz w:val="48"/>
          <w:szCs w:val="48"/>
        </w:rPr>
      </w:pPr>
      <w:r>
        <w:rPr>
          <w:rFonts w:hint="eastAsia" w:ascii="宋体" w:hAnsi="宋体"/>
          <w:b/>
          <w:sz w:val="48"/>
          <w:szCs w:val="48"/>
        </w:rPr>
        <w:t>书</w:t>
      </w:r>
    </w:p>
    <w:p>
      <w:pPr>
        <w:jc w:val="center"/>
        <w:rPr>
          <w:rFonts w:ascii="宋体" w:hAnsi="宋体"/>
          <w:b/>
          <w:color w:val="FF0000"/>
          <w:sz w:val="28"/>
          <w:szCs w:val="28"/>
        </w:rPr>
      </w:pPr>
    </w:p>
    <w:p>
      <w:pPr>
        <w:jc w:val="center"/>
        <w:rPr>
          <w:rFonts w:ascii="宋体" w:hAnsi="宋体"/>
          <w:b/>
          <w:color w:val="FF0000"/>
          <w:sz w:val="28"/>
          <w:szCs w:val="28"/>
        </w:rPr>
      </w:pPr>
    </w:p>
    <w:p>
      <w:pPr>
        <w:jc w:val="center"/>
        <w:rPr>
          <w:rFonts w:ascii="宋体" w:hAnsi="宋体"/>
          <w:b/>
          <w:color w:val="FF0000"/>
          <w:sz w:val="28"/>
          <w:szCs w:val="28"/>
        </w:rPr>
      </w:pPr>
    </w:p>
    <w:p>
      <w:pPr>
        <w:jc w:val="center"/>
        <w:rPr>
          <w:rFonts w:ascii="宋体" w:hAnsi="宋体"/>
          <w:b/>
          <w:color w:val="FF0000"/>
          <w:sz w:val="28"/>
          <w:szCs w:val="28"/>
        </w:rPr>
      </w:pPr>
    </w:p>
    <w:p>
      <w:pPr>
        <w:jc w:val="center"/>
        <w:rPr>
          <w:rFonts w:ascii="宋体" w:hAnsi="宋体"/>
          <w:b/>
          <w:color w:val="FF0000"/>
          <w:sz w:val="28"/>
          <w:szCs w:val="28"/>
        </w:rPr>
      </w:pPr>
    </w:p>
    <w:p>
      <w:pPr>
        <w:jc w:val="center"/>
        <w:rPr>
          <w:rFonts w:ascii="宋体" w:hAnsi="宋体"/>
          <w:b/>
          <w:color w:val="FF0000"/>
          <w:sz w:val="28"/>
          <w:szCs w:val="28"/>
        </w:rPr>
      </w:pPr>
    </w:p>
    <w:p>
      <w:pPr>
        <w:jc w:val="center"/>
        <w:rPr>
          <w:rFonts w:ascii="宋体" w:hAnsi="宋体"/>
          <w:b/>
          <w:color w:val="FF0000"/>
          <w:sz w:val="28"/>
          <w:szCs w:val="28"/>
        </w:rPr>
      </w:pPr>
    </w:p>
    <w:p>
      <w:pPr>
        <w:pStyle w:val="90"/>
        <w:spacing w:line="240" w:lineRule="auto"/>
        <w:ind w:firstLine="0"/>
        <w:jc w:val="center"/>
        <w:rPr>
          <w:rFonts w:ascii="宋体" w:hAnsi="宋体"/>
          <w:sz w:val="32"/>
          <w:szCs w:val="32"/>
        </w:rPr>
      </w:pPr>
      <w:r>
        <w:rPr>
          <w:rFonts w:hint="eastAsia" w:ascii="宋体" w:hAnsi="宋体"/>
          <w:sz w:val="32"/>
          <w:szCs w:val="32"/>
        </w:rPr>
        <w:t>亳州交通投资控股集团有限公司</w:t>
      </w:r>
    </w:p>
    <w:p>
      <w:pPr>
        <w:jc w:val="center"/>
        <w:rPr>
          <w:rFonts w:ascii="宋体" w:hAnsi="宋体"/>
          <w:b/>
          <w:color w:val="FF0000"/>
          <w:sz w:val="28"/>
          <w:szCs w:val="28"/>
        </w:rPr>
      </w:pPr>
    </w:p>
    <w:p>
      <w:pPr>
        <w:jc w:val="center"/>
        <w:rPr>
          <w:rFonts w:ascii="宋体" w:hAnsi="宋体"/>
          <w:b/>
          <w:color w:val="FF0000"/>
          <w:sz w:val="28"/>
          <w:szCs w:val="28"/>
        </w:rPr>
      </w:pPr>
    </w:p>
    <w:p>
      <w:pPr>
        <w:jc w:val="center"/>
        <w:rPr>
          <w:rFonts w:ascii="宋体" w:hAnsi="宋体"/>
          <w:b/>
          <w:color w:val="FF0000"/>
          <w:sz w:val="28"/>
          <w:szCs w:val="28"/>
        </w:rPr>
      </w:pPr>
    </w:p>
    <w:p>
      <w:pPr>
        <w:jc w:val="center"/>
        <w:rPr>
          <w:rFonts w:ascii="宋体" w:hAnsi="宋体"/>
          <w:b/>
          <w:color w:val="FF0000"/>
          <w:sz w:val="28"/>
          <w:szCs w:val="28"/>
        </w:rPr>
      </w:pPr>
    </w:p>
    <w:p>
      <w:pPr>
        <w:jc w:val="center"/>
        <w:rPr>
          <w:rFonts w:asciiTheme="majorEastAsia" w:hAnsiTheme="majorEastAsia" w:eastAsiaTheme="majorEastAsia"/>
          <w:b/>
          <w:bCs/>
          <w:color w:val="000000"/>
          <w:sz w:val="28"/>
          <w:szCs w:val="28"/>
        </w:rPr>
      </w:pPr>
      <w:r>
        <w:rPr>
          <w:rFonts w:asciiTheme="majorEastAsia" w:hAnsiTheme="majorEastAsia" w:eastAsiaTheme="majorEastAsia"/>
          <w:b/>
          <w:bCs/>
          <w:color w:val="000000"/>
          <w:sz w:val="28"/>
          <w:szCs w:val="28"/>
        </w:rPr>
        <w:t>亳州公路客运高铁枢纽站</w:t>
      </w:r>
      <w:r>
        <w:rPr>
          <w:rFonts w:hint="eastAsia" w:asciiTheme="majorEastAsia" w:hAnsiTheme="majorEastAsia" w:eastAsiaTheme="majorEastAsia"/>
          <w:b/>
          <w:bCs/>
          <w:color w:val="000000"/>
          <w:sz w:val="28"/>
          <w:szCs w:val="28"/>
        </w:rPr>
        <w:t>项目智能化系统</w:t>
      </w:r>
    </w:p>
    <w:p>
      <w:pPr>
        <w:jc w:val="center"/>
        <w:rPr>
          <w:rFonts w:asciiTheme="majorEastAsia" w:hAnsiTheme="majorEastAsia" w:eastAsiaTheme="majorEastAsia"/>
          <w:b/>
          <w:bCs/>
          <w:color w:val="000000"/>
          <w:sz w:val="28"/>
          <w:szCs w:val="28"/>
        </w:rPr>
      </w:pPr>
      <w:r>
        <w:rPr>
          <w:rFonts w:hint="eastAsia" w:asciiTheme="majorEastAsia" w:hAnsiTheme="majorEastAsia" w:eastAsiaTheme="majorEastAsia"/>
          <w:b/>
          <w:bCs/>
          <w:color w:val="000000"/>
          <w:sz w:val="28"/>
          <w:szCs w:val="28"/>
        </w:rPr>
        <w:t>设计任务书</w:t>
      </w:r>
    </w:p>
    <w:p>
      <w:pPr>
        <w:ind w:firstLine="420"/>
        <w:rPr>
          <w:rFonts w:ascii="宋体" w:hAnsi="宋体"/>
        </w:rPr>
      </w:pPr>
    </w:p>
    <w:p>
      <w:pPr>
        <w:keepNext/>
        <w:keepLines/>
        <w:spacing w:line="360" w:lineRule="auto"/>
        <w:jc w:val="left"/>
        <w:outlineLvl w:val="2"/>
        <w:rPr>
          <w:rFonts w:ascii="宋体" w:hAnsi="宋体" w:cs="宋体"/>
          <w:b/>
          <w:sz w:val="28"/>
          <w:szCs w:val="28"/>
        </w:rPr>
      </w:pPr>
      <w:r>
        <w:rPr>
          <w:rFonts w:hint="eastAsia" w:ascii="宋体" w:hAnsi="宋体" w:cs="宋体"/>
          <w:b/>
          <w:sz w:val="28"/>
          <w:szCs w:val="28"/>
        </w:rPr>
        <w:t>一、项目名称</w:t>
      </w:r>
    </w:p>
    <w:p>
      <w:pPr>
        <w:spacing w:line="360" w:lineRule="auto"/>
        <w:ind w:firstLine="480" w:firstLineChars="200"/>
        <w:rPr>
          <w:rFonts w:ascii="宋体" w:hAnsi="宋体" w:cs="Arial"/>
          <w:sz w:val="24"/>
        </w:rPr>
      </w:pPr>
      <w:r>
        <w:rPr>
          <w:rFonts w:ascii="宋体" w:hAnsi="宋体" w:cs="Arial"/>
          <w:sz w:val="24"/>
        </w:rPr>
        <w:t>亳州公路客运高铁枢纽站</w:t>
      </w:r>
      <w:r>
        <w:rPr>
          <w:rFonts w:hint="eastAsia" w:ascii="宋体" w:hAnsi="宋体" w:cs="Arial"/>
          <w:sz w:val="24"/>
        </w:rPr>
        <w:t>项目智能化系统设计</w:t>
      </w:r>
    </w:p>
    <w:p>
      <w:pPr>
        <w:keepNext/>
        <w:keepLines/>
        <w:spacing w:line="360" w:lineRule="auto"/>
        <w:jc w:val="left"/>
        <w:outlineLvl w:val="2"/>
        <w:rPr>
          <w:rFonts w:ascii="宋体" w:hAnsi="宋体" w:cs="宋体"/>
          <w:b/>
          <w:sz w:val="28"/>
          <w:szCs w:val="28"/>
        </w:rPr>
      </w:pPr>
      <w:r>
        <w:rPr>
          <w:rFonts w:hint="eastAsia" w:ascii="宋体" w:hAnsi="宋体" w:cs="宋体"/>
          <w:b/>
          <w:sz w:val="28"/>
          <w:szCs w:val="28"/>
        </w:rPr>
        <w:t>二、项目概况</w:t>
      </w:r>
    </w:p>
    <w:p>
      <w:pPr>
        <w:ind w:firstLine="142"/>
        <w:rPr>
          <w:rFonts w:ascii="宋体" w:hAnsi="宋体" w:cs="宋体"/>
          <w:b/>
          <w:sz w:val="28"/>
          <w:szCs w:val="28"/>
        </w:rPr>
      </w:pPr>
      <w:r>
        <w:rPr>
          <w:rFonts w:hint="eastAsia" w:ascii="宋体" w:hAnsi="宋体" w:cs="宋体"/>
          <w:b/>
          <w:sz w:val="28"/>
          <w:szCs w:val="28"/>
        </w:rPr>
        <w:t>1、项目位置</w:t>
      </w:r>
    </w:p>
    <w:p>
      <w:pPr>
        <w:spacing w:line="360" w:lineRule="auto"/>
        <w:ind w:firstLine="480" w:firstLineChars="200"/>
        <w:rPr>
          <w:rFonts w:ascii="宋体" w:hAnsi="宋体" w:cs="Arial"/>
          <w:sz w:val="24"/>
        </w:rPr>
      </w:pPr>
      <w:r>
        <w:rPr>
          <w:rFonts w:hint="eastAsia" w:ascii="宋体" w:hAnsi="宋体" w:cs="Arial"/>
          <w:sz w:val="24"/>
        </w:rPr>
        <w:t>亳州市经开区，神农大道以西，银杏路以南，酒城大道以北。</w:t>
      </w:r>
    </w:p>
    <w:p>
      <w:pPr>
        <w:ind w:firstLine="142"/>
        <w:rPr>
          <w:rFonts w:ascii="宋体" w:hAnsi="宋体" w:cs="宋体"/>
          <w:b/>
          <w:sz w:val="28"/>
          <w:szCs w:val="28"/>
        </w:rPr>
      </w:pPr>
      <w:r>
        <w:rPr>
          <w:rFonts w:hint="eastAsia" w:ascii="宋体" w:hAnsi="宋体" w:cs="宋体"/>
          <w:b/>
          <w:sz w:val="28"/>
          <w:szCs w:val="28"/>
        </w:rPr>
        <w:t>2、建设规模</w:t>
      </w:r>
    </w:p>
    <w:p>
      <w:pPr>
        <w:spacing w:line="360" w:lineRule="auto"/>
        <w:ind w:firstLine="480" w:firstLineChars="200"/>
        <w:rPr>
          <w:rFonts w:ascii="宋体" w:hAnsi="宋体" w:cs="Arial"/>
          <w:sz w:val="24"/>
        </w:rPr>
      </w:pPr>
      <w:r>
        <w:rPr>
          <w:rFonts w:hint="eastAsia" w:ascii="宋体" w:hAnsi="宋体" w:cs="Arial"/>
          <w:sz w:val="24"/>
        </w:rPr>
        <w:t>高铁枢纽站项目占地13.1万m²，总建筑面积6万m²，设计内容包括长途客运站、公交站场、地面地下停车场、高架落客平台、站前景观广场等，总投资6.14亿元。</w:t>
      </w:r>
    </w:p>
    <w:p>
      <w:pPr>
        <w:keepNext/>
        <w:keepLines/>
        <w:spacing w:line="360" w:lineRule="auto"/>
        <w:jc w:val="left"/>
        <w:outlineLvl w:val="2"/>
        <w:rPr>
          <w:rFonts w:ascii="宋体" w:hAnsi="宋体" w:cs="宋体"/>
          <w:b/>
          <w:sz w:val="28"/>
          <w:szCs w:val="28"/>
        </w:rPr>
      </w:pPr>
      <w:r>
        <w:rPr>
          <w:rFonts w:hint="eastAsia" w:ascii="宋体" w:hAnsi="宋体" w:cs="宋体"/>
          <w:b/>
          <w:sz w:val="28"/>
          <w:szCs w:val="28"/>
        </w:rPr>
        <w:t>三、设计理念</w:t>
      </w:r>
    </w:p>
    <w:p>
      <w:pPr>
        <w:spacing w:line="360" w:lineRule="auto"/>
        <w:ind w:firstLine="480" w:firstLineChars="200"/>
        <w:rPr>
          <w:rFonts w:ascii="宋体" w:hAnsi="宋体" w:cs="Arial"/>
          <w:sz w:val="24"/>
        </w:rPr>
      </w:pPr>
      <w:r>
        <w:rPr>
          <w:rFonts w:ascii="宋体" w:hAnsi="宋体" w:cs="Arial"/>
          <w:sz w:val="24"/>
        </w:rPr>
        <w:t>亳州公路客运高铁枢纽站</w:t>
      </w:r>
      <w:r>
        <w:rPr>
          <w:rFonts w:hint="eastAsia" w:ascii="宋体" w:hAnsi="宋体" w:cs="Arial"/>
          <w:sz w:val="24"/>
        </w:rPr>
        <w:t>项目智能化系统是基于计算机应用技术、现代通讯技术和自动化控制技术上的系统工程，在工程设计中应采用先进、成熟、实用的技术，体现客运</w:t>
      </w:r>
      <w:r>
        <w:rPr>
          <w:rFonts w:hint="eastAsia" w:ascii="宋体" w:hAnsi="宋体" w:cs="Arial"/>
          <w:sz w:val="24"/>
          <w:lang w:val="en-US" w:eastAsia="zh-CN"/>
        </w:rPr>
        <w:t>高铁枢纽站项目的</w:t>
      </w:r>
      <w:r>
        <w:rPr>
          <w:rFonts w:hint="eastAsia" w:ascii="宋体" w:hAnsi="宋体" w:cs="Arial"/>
          <w:sz w:val="24"/>
        </w:rPr>
        <w:t>建筑形象</w:t>
      </w:r>
      <w:r>
        <w:rPr>
          <w:rFonts w:hint="eastAsia" w:ascii="宋体" w:hAnsi="宋体" w:cs="Arial"/>
          <w:sz w:val="24"/>
          <w:lang w:val="en-US" w:eastAsia="zh-CN"/>
        </w:rPr>
        <w:t>和功能</w:t>
      </w:r>
      <w:r>
        <w:rPr>
          <w:rFonts w:hint="eastAsia" w:ascii="宋体" w:hAnsi="宋体" w:cs="Arial"/>
          <w:sz w:val="24"/>
        </w:rPr>
        <w:t>要求，具有人性化、亲和力、高效率、高智能的特点。</w:t>
      </w:r>
    </w:p>
    <w:p>
      <w:pPr>
        <w:spacing w:line="360" w:lineRule="auto"/>
        <w:ind w:firstLine="480" w:firstLineChars="200"/>
        <w:rPr>
          <w:rFonts w:ascii="宋体" w:hAnsi="宋体" w:cs="Arial"/>
          <w:sz w:val="24"/>
        </w:rPr>
      </w:pPr>
      <w:r>
        <w:rPr>
          <w:rFonts w:hint="eastAsia" w:ascii="宋体" w:hAnsi="宋体" w:cs="Arial"/>
          <w:sz w:val="24"/>
        </w:rPr>
        <w:t>体现现代化、科技化以及智能化的特点。</w:t>
      </w:r>
    </w:p>
    <w:p>
      <w:pPr>
        <w:spacing w:line="360" w:lineRule="auto"/>
        <w:ind w:firstLine="480" w:firstLineChars="200"/>
        <w:rPr>
          <w:rFonts w:ascii="宋体" w:hAnsi="宋体" w:cs="Arial"/>
          <w:sz w:val="24"/>
        </w:rPr>
      </w:pPr>
      <w:r>
        <w:rPr>
          <w:rFonts w:hint="eastAsia" w:ascii="宋体" w:hAnsi="宋体" w:cs="Arial"/>
          <w:sz w:val="24"/>
        </w:rPr>
        <w:t>所设计方案按照先进性、实用性、稳定性和高效性为原则。</w:t>
      </w:r>
    </w:p>
    <w:p>
      <w:pPr>
        <w:keepNext/>
        <w:keepLines/>
        <w:spacing w:line="360" w:lineRule="auto"/>
        <w:jc w:val="left"/>
        <w:outlineLvl w:val="2"/>
        <w:rPr>
          <w:rFonts w:ascii="宋体" w:hAnsi="宋体" w:cs="宋体"/>
          <w:b/>
          <w:sz w:val="28"/>
          <w:szCs w:val="28"/>
        </w:rPr>
      </w:pPr>
      <w:r>
        <w:rPr>
          <w:rFonts w:hint="eastAsia" w:ascii="宋体" w:hAnsi="宋体" w:cs="宋体"/>
          <w:b/>
          <w:sz w:val="28"/>
          <w:szCs w:val="28"/>
        </w:rPr>
        <w:t>四、设计要求</w:t>
      </w:r>
    </w:p>
    <w:p>
      <w:pPr>
        <w:spacing w:line="360" w:lineRule="auto"/>
        <w:rPr>
          <w:rFonts w:ascii="宋体" w:hAnsi="宋体" w:cs="Arial"/>
          <w:sz w:val="24"/>
        </w:rPr>
      </w:pPr>
      <w:r>
        <w:rPr>
          <w:rFonts w:ascii="宋体" w:hAnsi="宋体" w:cs="Arial"/>
          <w:b/>
          <w:sz w:val="24"/>
        </w:rPr>
        <w:t>1</w:t>
      </w:r>
      <w:r>
        <w:rPr>
          <w:rFonts w:hint="eastAsia" w:ascii="宋体" w:hAnsi="宋体" w:cs="Arial"/>
          <w:b/>
          <w:sz w:val="24"/>
        </w:rPr>
        <w:t>、</w:t>
      </w:r>
      <w:r>
        <w:rPr>
          <w:rFonts w:hint="eastAsia" w:ascii="宋体" w:hAnsi="宋体" w:cs="Arial"/>
          <w:sz w:val="24"/>
        </w:rPr>
        <w:t>设计以科学、合理、实用、适当超前为原则，顺应国内外建筑智能化、客运智能化的先进技术、经验和发展趋势，既要满足当前使用的需要，又能为今后发展、改造、更新，留有余地。</w:t>
      </w:r>
    </w:p>
    <w:p>
      <w:pPr>
        <w:spacing w:line="360" w:lineRule="auto"/>
        <w:rPr>
          <w:rFonts w:ascii="宋体" w:hAnsi="宋体" w:cs="Arial"/>
          <w:sz w:val="24"/>
        </w:rPr>
      </w:pPr>
      <w:r>
        <w:rPr>
          <w:rFonts w:ascii="宋体" w:hAnsi="宋体" w:cs="Arial"/>
          <w:b/>
          <w:sz w:val="24"/>
        </w:rPr>
        <w:t>2</w:t>
      </w:r>
      <w:r>
        <w:rPr>
          <w:rFonts w:hint="eastAsia" w:ascii="宋体" w:hAnsi="宋体" w:cs="Arial"/>
          <w:b/>
          <w:sz w:val="24"/>
        </w:rPr>
        <w:t>、</w:t>
      </w:r>
      <w:r>
        <w:rPr>
          <w:rFonts w:hint="eastAsia" w:ascii="宋体" w:hAnsi="宋体" w:cs="Arial"/>
          <w:sz w:val="24"/>
        </w:rPr>
        <w:t>既要体现先进性、功能多样性、智能性、美观性、灵活性，又要体现经济性。</w:t>
      </w:r>
    </w:p>
    <w:p>
      <w:pPr>
        <w:spacing w:line="360" w:lineRule="auto"/>
        <w:rPr>
          <w:rFonts w:ascii="宋体" w:hAnsi="宋体" w:cs="Arial"/>
          <w:sz w:val="24"/>
        </w:rPr>
      </w:pPr>
      <w:r>
        <w:rPr>
          <w:rFonts w:ascii="宋体" w:hAnsi="宋体" w:cs="Arial"/>
          <w:b/>
          <w:sz w:val="24"/>
        </w:rPr>
        <w:t>3</w:t>
      </w:r>
      <w:r>
        <w:rPr>
          <w:rFonts w:hint="eastAsia" w:ascii="宋体" w:hAnsi="宋体" w:cs="Arial"/>
          <w:b/>
          <w:sz w:val="24"/>
        </w:rPr>
        <w:t>、</w:t>
      </w:r>
      <w:r>
        <w:rPr>
          <w:rFonts w:hint="eastAsia" w:ascii="宋体" w:hAnsi="宋体" w:cs="Arial"/>
          <w:sz w:val="24"/>
        </w:rPr>
        <w:t>注重新技术、新工艺、新材料的应用，不但力求节约投资，更要考虑环保和日后长期使用过程中降低能耗，节约经常性开支。</w:t>
      </w:r>
    </w:p>
    <w:p>
      <w:pPr>
        <w:spacing w:line="360" w:lineRule="auto"/>
        <w:rPr>
          <w:rFonts w:ascii="宋体" w:hAnsi="宋体" w:cs="Arial"/>
          <w:sz w:val="24"/>
        </w:rPr>
      </w:pPr>
      <w:r>
        <w:rPr>
          <w:rFonts w:ascii="宋体" w:hAnsi="宋体" w:cs="Arial"/>
          <w:b/>
          <w:sz w:val="24"/>
        </w:rPr>
        <w:t>4</w:t>
      </w:r>
      <w:r>
        <w:rPr>
          <w:rFonts w:hint="eastAsia" w:ascii="宋体" w:hAnsi="宋体" w:cs="Arial"/>
          <w:b/>
          <w:sz w:val="24"/>
        </w:rPr>
        <w:t>、</w:t>
      </w:r>
      <w:r>
        <w:rPr>
          <w:rFonts w:hint="eastAsia" w:ascii="宋体" w:hAnsi="宋体" w:cs="Arial"/>
          <w:sz w:val="24"/>
        </w:rPr>
        <w:t>设计应符合国家</w:t>
      </w:r>
      <w:r>
        <w:rPr>
          <w:rFonts w:ascii="宋体" w:hAnsi="宋体" w:cs="Arial"/>
          <w:sz w:val="24"/>
        </w:rPr>
        <w:t>/</w:t>
      </w:r>
      <w:r>
        <w:rPr>
          <w:rFonts w:hint="eastAsia" w:ascii="宋体" w:hAnsi="宋体" w:cs="Arial"/>
          <w:sz w:val="24"/>
        </w:rPr>
        <w:t>地区消防、环保、节能、防霉、防辐射和抗震设计规范和要求。</w:t>
      </w:r>
    </w:p>
    <w:p>
      <w:pPr>
        <w:spacing w:line="360" w:lineRule="auto"/>
        <w:rPr>
          <w:rFonts w:ascii="宋体" w:hAnsi="宋体" w:cs="Arial"/>
          <w:sz w:val="24"/>
        </w:rPr>
      </w:pPr>
      <w:r>
        <w:rPr>
          <w:rFonts w:ascii="宋体" w:hAnsi="宋体" w:cs="Arial"/>
          <w:b/>
          <w:sz w:val="24"/>
        </w:rPr>
        <w:t>5</w:t>
      </w:r>
      <w:r>
        <w:rPr>
          <w:rFonts w:hint="eastAsia" w:ascii="宋体" w:hAnsi="宋体" w:cs="Arial"/>
          <w:b/>
          <w:sz w:val="24"/>
        </w:rPr>
        <w:t>、</w:t>
      </w:r>
      <w:r>
        <w:rPr>
          <w:rFonts w:hint="eastAsia" w:ascii="宋体" w:hAnsi="宋体" w:cs="Arial"/>
          <w:sz w:val="24"/>
        </w:rPr>
        <w:t>设计选材应符合国家现行标准的规定，燃烧性能应符合现行国家相关标准。</w:t>
      </w:r>
    </w:p>
    <w:p>
      <w:pPr>
        <w:spacing w:line="360" w:lineRule="auto"/>
        <w:rPr>
          <w:rFonts w:ascii="宋体" w:hAnsi="宋体" w:cs="Arial"/>
          <w:sz w:val="24"/>
        </w:rPr>
      </w:pPr>
      <w:r>
        <w:rPr>
          <w:rFonts w:ascii="宋体" w:hAnsi="宋体" w:cs="Arial"/>
          <w:b/>
          <w:sz w:val="24"/>
        </w:rPr>
        <w:t>6</w:t>
      </w:r>
      <w:r>
        <w:rPr>
          <w:rFonts w:hint="eastAsia" w:ascii="宋体" w:hAnsi="宋体" w:cs="Arial"/>
          <w:b/>
          <w:sz w:val="24"/>
        </w:rPr>
        <w:t>、</w:t>
      </w:r>
      <w:r>
        <w:rPr>
          <w:rFonts w:hint="eastAsia" w:ascii="宋体" w:hAnsi="宋体" w:cs="Arial"/>
          <w:sz w:val="24"/>
        </w:rPr>
        <w:t>统筹考虑与空调、消防、强弱电布局以及其它相关设施的协调一致。</w:t>
      </w:r>
    </w:p>
    <w:p>
      <w:pPr>
        <w:spacing w:line="360" w:lineRule="auto"/>
        <w:rPr>
          <w:rFonts w:ascii="宋体" w:hAnsi="宋体" w:cs="Arial"/>
          <w:sz w:val="24"/>
        </w:rPr>
      </w:pPr>
      <w:r>
        <w:rPr>
          <w:rFonts w:ascii="宋体" w:hAnsi="宋体" w:cs="Arial"/>
          <w:b/>
          <w:sz w:val="24"/>
        </w:rPr>
        <w:t>7</w:t>
      </w:r>
      <w:r>
        <w:rPr>
          <w:rFonts w:hint="eastAsia" w:ascii="宋体" w:hAnsi="宋体" w:cs="Arial"/>
          <w:b/>
          <w:sz w:val="24"/>
        </w:rPr>
        <w:t>、</w:t>
      </w:r>
      <w:r>
        <w:rPr>
          <w:rFonts w:hint="eastAsia" w:ascii="宋体" w:hAnsi="宋体" w:cs="Arial"/>
          <w:sz w:val="24"/>
        </w:rPr>
        <w:t>统筹考虑与土建及安装工程协调。</w:t>
      </w:r>
    </w:p>
    <w:p>
      <w:pPr>
        <w:keepNext/>
        <w:keepLines/>
        <w:spacing w:line="360" w:lineRule="auto"/>
        <w:jc w:val="left"/>
        <w:outlineLvl w:val="2"/>
        <w:rPr>
          <w:rFonts w:ascii="宋体" w:hAnsi="宋体" w:cs="宋体"/>
          <w:b/>
          <w:sz w:val="28"/>
          <w:szCs w:val="28"/>
        </w:rPr>
      </w:pPr>
      <w:r>
        <w:rPr>
          <w:rFonts w:hint="eastAsia" w:ascii="宋体" w:hAnsi="宋体" w:cs="宋体"/>
          <w:b/>
          <w:sz w:val="28"/>
          <w:szCs w:val="28"/>
        </w:rPr>
        <w:t>五、设计依据</w:t>
      </w:r>
    </w:p>
    <w:p>
      <w:pPr>
        <w:spacing w:line="360" w:lineRule="auto"/>
        <w:rPr>
          <w:rFonts w:ascii="宋体" w:hAnsi="宋体" w:cs="Arial"/>
          <w:sz w:val="24"/>
        </w:rPr>
      </w:pPr>
      <w:r>
        <w:rPr>
          <w:rFonts w:ascii="宋体" w:hAnsi="宋体" w:cs="Arial"/>
          <w:b/>
          <w:sz w:val="24"/>
        </w:rPr>
        <w:t>1</w:t>
      </w:r>
      <w:r>
        <w:rPr>
          <w:rFonts w:hint="eastAsia" w:ascii="宋体" w:hAnsi="宋体" w:cs="Arial"/>
          <w:b/>
          <w:sz w:val="24"/>
        </w:rPr>
        <w:t>、</w:t>
      </w:r>
      <w:r>
        <w:rPr>
          <w:rFonts w:hint="eastAsia" w:ascii="宋体" w:hAnsi="宋体" w:cs="Arial"/>
          <w:sz w:val="24"/>
          <w:lang w:val="en-US" w:eastAsia="zh-CN"/>
        </w:rPr>
        <w:t>枢纽站</w:t>
      </w:r>
      <w:r>
        <w:rPr>
          <w:rFonts w:hint="eastAsia" w:ascii="宋体" w:hAnsi="宋体" w:cs="Arial"/>
          <w:sz w:val="24"/>
        </w:rPr>
        <w:t>招标图纸。</w:t>
      </w:r>
    </w:p>
    <w:p>
      <w:pPr>
        <w:spacing w:line="360" w:lineRule="auto"/>
        <w:rPr>
          <w:rFonts w:ascii="宋体" w:hAnsi="宋体" w:cs="Arial"/>
          <w:sz w:val="24"/>
        </w:rPr>
      </w:pPr>
      <w:r>
        <w:rPr>
          <w:rFonts w:ascii="宋体" w:hAnsi="宋体" w:cs="Arial"/>
          <w:b/>
          <w:sz w:val="24"/>
        </w:rPr>
        <w:t>2</w:t>
      </w:r>
      <w:r>
        <w:rPr>
          <w:rFonts w:hint="eastAsia" w:ascii="宋体" w:hAnsi="宋体" w:cs="Arial"/>
          <w:b/>
          <w:sz w:val="24"/>
        </w:rPr>
        <w:t>、</w:t>
      </w:r>
      <w:r>
        <w:rPr>
          <w:rFonts w:hint="eastAsia" w:ascii="宋体" w:hAnsi="宋体" w:cs="Arial"/>
          <w:sz w:val="24"/>
        </w:rPr>
        <w:t>本征集文件的要求。</w:t>
      </w:r>
    </w:p>
    <w:p>
      <w:pPr>
        <w:spacing w:line="360" w:lineRule="auto"/>
        <w:rPr>
          <w:rFonts w:ascii="宋体" w:hAnsi="宋体" w:cs="Arial"/>
          <w:sz w:val="24"/>
        </w:rPr>
      </w:pPr>
      <w:r>
        <w:rPr>
          <w:rFonts w:ascii="宋体" w:hAnsi="宋体" w:cs="Arial"/>
          <w:b/>
          <w:sz w:val="24"/>
        </w:rPr>
        <w:t>3</w:t>
      </w:r>
      <w:r>
        <w:rPr>
          <w:rFonts w:hint="eastAsia" w:ascii="宋体" w:hAnsi="宋体" w:cs="Arial"/>
          <w:b/>
          <w:sz w:val="24"/>
        </w:rPr>
        <w:t>、</w:t>
      </w:r>
      <w:r>
        <w:rPr>
          <w:rFonts w:hint="eastAsia" w:ascii="宋体" w:hAnsi="宋体" w:cs="Arial"/>
          <w:sz w:val="24"/>
        </w:rPr>
        <w:t>应执行的各种设计规范与标准。</w:t>
      </w:r>
    </w:p>
    <w:p>
      <w:pPr>
        <w:keepNext/>
        <w:keepLines/>
        <w:spacing w:line="360" w:lineRule="auto"/>
        <w:jc w:val="left"/>
        <w:outlineLvl w:val="2"/>
        <w:rPr>
          <w:rFonts w:ascii="宋体" w:hAnsi="宋体" w:cs="宋体"/>
          <w:b/>
          <w:sz w:val="28"/>
          <w:szCs w:val="28"/>
        </w:rPr>
      </w:pPr>
      <w:r>
        <w:rPr>
          <w:rFonts w:hint="eastAsia" w:ascii="宋体" w:hAnsi="宋体" w:cs="宋体"/>
          <w:b/>
          <w:sz w:val="28"/>
          <w:szCs w:val="28"/>
        </w:rPr>
        <w:t>六、设计范围</w:t>
      </w:r>
    </w:p>
    <w:p>
      <w:pPr>
        <w:snapToGrid w:val="0"/>
        <w:spacing w:line="360" w:lineRule="auto"/>
        <w:rPr>
          <w:rFonts w:ascii="宋体" w:hAnsi="宋体" w:cs="Arial"/>
          <w:sz w:val="24"/>
        </w:rPr>
      </w:pPr>
      <w:r>
        <w:rPr>
          <w:rFonts w:hint="eastAsia" w:ascii="宋体" w:hAnsi="宋体" w:cs="Arial"/>
          <w:sz w:val="24"/>
        </w:rPr>
        <w:t>各智能化子系统要求包含且不限于：</w:t>
      </w:r>
    </w:p>
    <w:p>
      <w:pPr>
        <w:snapToGrid w:val="0"/>
        <w:spacing w:line="480" w:lineRule="exact"/>
        <w:rPr>
          <w:rFonts w:ascii="Arial" w:hAnsi="Arial" w:cs="Arial"/>
          <w:sz w:val="24"/>
        </w:rPr>
      </w:pPr>
      <w:r>
        <w:rPr>
          <w:rFonts w:ascii="Arial" w:hAnsi="Arial" w:cs="Arial"/>
          <w:sz w:val="24"/>
        </w:rPr>
        <w:t>1</w:t>
      </w:r>
      <w:r>
        <w:rPr>
          <w:rFonts w:hint="eastAsia" w:ascii="Arial" w:hAnsi="Arial" w:cs="Arial"/>
          <w:sz w:val="24"/>
        </w:rPr>
        <w:t>、综合管路及桥架系统；</w:t>
      </w:r>
    </w:p>
    <w:p>
      <w:pPr>
        <w:snapToGrid w:val="0"/>
        <w:spacing w:line="480" w:lineRule="exact"/>
        <w:rPr>
          <w:rFonts w:ascii="Arial" w:hAnsi="Arial" w:cs="Arial"/>
          <w:sz w:val="24"/>
        </w:rPr>
      </w:pPr>
      <w:r>
        <w:rPr>
          <w:rFonts w:ascii="Arial" w:hAnsi="Arial" w:cs="Arial"/>
          <w:sz w:val="24"/>
        </w:rPr>
        <w:t>2</w:t>
      </w:r>
      <w:r>
        <w:rPr>
          <w:rFonts w:hint="eastAsia" w:ascii="Arial" w:hAnsi="Arial" w:cs="Arial"/>
          <w:sz w:val="24"/>
        </w:rPr>
        <w:t>、综合布线系统；</w:t>
      </w:r>
    </w:p>
    <w:p>
      <w:pPr>
        <w:snapToGrid w:val="0"/>
        <w:spacing w:line="480" w:lineRule="exact"/>
        <w:rPr>
          <w:rFonts w:ascii="Arial" w:hAnsi="Arial" w:cs="Arial"/>
          <w:sz w:val="24"/>
        </w:rPr>
      </w:pPr>
      <w:r>
        <w:rPr>
          <w:rFonts w:hint="eastAsia" w:ascii="Arial" w:hAnsi="Arial" w:cs="Arial"/>
          <w:sz w:val="24"/>
        </w:rPr>
        <w:t>3、视频监控系统；</w:t>
      </w:r>
    </w:p>
    <w:p>
      <w:pPr>
        <w:snapToGrid w:val="0"/>
        <w:spacing w:line="480" w:lineRule="exact"/>
        <w:rPr>
          <w:rFonts w:ascii="Arial" w:hAnsi="Arial" w:cs="Arial"/>
          <w:sz w:val="24"/>
        </w:rPr>
      </w:pPr>
      <w:r>
        <w:rPr>
          <w:rFonts w:hint="eastAsia" w:ascii="Arial" w:hAnsi="Arial" w:cs="Arial"/>
          <w:sz w:val="24"/>
        </w:rPr>
        <w:t>4、</w:t>
      </w:r>
      <w:r>
        <w:rPr>
          <w:rFonts w:ascii="Arial" w:hAnsi="Arial" w:cs="Arial"/>
          <w:sz w:val="24"/>
        </w:rPr>
        <w:t>入侵报警系统</w:t>
      </w:r>
      <w:r>
        <w:rPr>
          <w:rFonts w:hint="eastAsia" w:ascii="Arial" w:hAnsi="Arial" w:cs="Arial"/>
          <w:sz w:val="24"/>
        </w:rPr>
        <w:t>；</w:t>
      </w:r>
    </w:p>
    <w:p>
      <w:pPr>
        <w:snapToGrid w:val="0"/>
        <w:spacing w:line="480" w:lineRule="exact"/>
        <w:rPr>
          <w:rFonts w:ascii="Arial" w:hAnsi="Arial" w:cs="Arial"/>
          <w:sz w:val="24"/>
        </w:rPr>
      </w:pPr>
      <w:r>
        <w:rPr>
          <w:rFonts w:hint="eastAsia" w:ascii="Arial" w:hAnsi="Arial" w:cs="Arial"/>
          <w:sz w:val="24"/>
        </w:rPr>
        <w:t>5、</w:t>
      </w:r>
      <w:r>
        <w:rPr>
          <w:rFonts w:ascii="Arial" w:hAnsi="Arial" w:cs="Arial"/>
          <w:sz w:val="24"/>
        </w:rPr>
        <w:t>电子巡更系统</w:t>
      </w:r>
      <w:r>
        <w:rPr>
          <w:rFonts w:hint="eastAsia" w:ascii="Arial" w:hAnsi="Arial" w:cs="Arial"/>
          <w:sz w:val="24"/>
        </w:rPr>
        <w:t>；</w:t>
      </w:r>
    </w:p>
    <w:p>
      <w:pPr>
        <w:snapToGrid w:val="0"/>
        <w:spacing w:line="480" w:lineRule="exact"/>
        <w:rPr>
          <w:rFonts w:ascii="Arial" w:hAnsi="Arial" w:cs="Arial"/>
          <w:sz w:val="24"/>
        </w:rPr>
      </w:pPr>
      <w:r>
        <w:rPr>
          <w:rFonts w:ascii="Arial" w:hAnsi="Arial" w:cs="Arial"/>
          <w:sz w:val="24"/>
        </w:rPr>
        <w:t>6</w:t>
      </w:r>
      <w:r>
        <w:rPr>
          <w:rFonts w:hint="eastAsia" w:ascii="Arial" w:hAnsi="Arial" w:cs="Arial"/>
          <w:sz w:val="24"/>
        </w:rPr>
        <w:t>、</w:t>
      </w:r>
      <w:r>
        <w:rPr>
          <w:rFonts w:ascii="Arial" w:hAnsi="Arial" w:cs="Arial"/>
          <w:sz w:val="24"/>
        </w:rPr>
        <w:t>无线对讲系统</w:t>
      </w:r>
      <w:r>
        <w:rPr>
          <w:rFonts w:hint="eastAsia" w:ascii="Arial" w:hAnsi="Arial" w:cs="Arial"/>
          <w:sz w:val="24"/>
        </w:rPr>
        <w:t>；</w:t>
      </w:r>
    </w:p>
    <w:p>
      <w:pPr>
        <w:snapToGrid w:val="0"/>
        <w:spacing w:line="480" w:lineRule="exact"/>
        <w:rPr>
          <w:rFonts w:ascii="Arial" w:hAnsi="Arial" w:cs="Arial"/>
          <w:sz w:val="24"/>
        </w:rPr>
      </w:pPr>
      <w:r>
        <w:rPr>
          <w:rFonts w:hint="eastAsia" w:ascii="Arial" w:hAnsi="Arial" w:cs="Arial"/>
          <w:sz w:val="24"/>
        </w:rPr>
        <w:t>7、</w:t>
      </w:r>
      <w:r>
        <w:rPr>
          <w:rFonts w:ascii="Arial" w:hAnsi="Arial" w:cs="Arial"/>
          <w:sz w:val="24"/>
        </w:rPr>
        <w:t>一卡通管理系统</w:t>
      </w:r>
      <w:r>
        <w:rPr>
          <w:rFonts w:hint="eastAsia" w:ascii="Arial" w:hAnsi="Arial" w:cs="Arial"/>
          <w:sz w:val="24"/>
        </w:rPr>
        <w:t>；</w:t>
      </w:r>
    </w:p>
    <w:p>
      <w:pPr>
        <w:snapToGrid w:val="0"/>
        <w:spacing w:line="480" w:lineRule="exact"/>
        <w:rPr>
          <w:rFonts w:ascii="Arial" w:hAnsi="Arial" w:cs="Arial"/>
          <w:sz w:val="24"/>
        </w:rPr>
      </w:pPr>
      <w:r>
        <w:rPr>
          <w:rFonts w:ascii="Arial" w:hAnsi="Arial" w:cs="Arial"/>
          <w:sz w:val="24"/>
        </w:rPr>
        <w:t>8</w:t>
      </w:r>
      <w:r>
        <w:rPr>
          <w:rFonts w:hint="eastAsia" w:ascii="Arial" w:hAnsi="Arial" w:cs="Arial"/>
          <w:sz w:val="24"/>
        </w:rPr>
        <w:t>、计算机网络系统；</w:t>
      </w:r>
    </w:p>
    <w:p>
      <w:pPr>
        <w:snapToGrid w:val="0"/>
        <w:spacing w:line="480" w:lineRule="exact"/>
        <w:rPr>
          <w:rFonts w:ascii="Arial" w:hAnsi="Arial" w:cs="Arial"/>
          <w:sz w:val="24"/>
        </w:rPr>
      </w:pPr>
      <w:r>
        <w:rPr>
          <w:rFonts w:ascii="Arial" w:hAnsi="Arial" w:cs="Arial"/>
          <w:sz w:val="24"/>
        </w:rPr>
        <w:t>9</w:t>
      </w:r>
      <w:r>
        <w:rPr>
          <w:rFonts w:hint="eastAsia" w:ascii="Arial" w:hAnsi="Arial" w:cs="Arial"/>
          <w:sz w:val="24"/>
        </w:rPr>
        <w:t>、机房工程；</w:t>
      </w:r>
    </w:p>
    <w:p>
      <w:pPr>
        <w:snapToGrid w:val="0"/>
        <w:spacing w:line="480" w:lineRule="exact"/>
        <w:rPr>
          <w:rFonts w:ascii="Arial" w:hAnsi="Arial" w:cs="Arial"/>
          <w:sz w:val="24"/>
        </w:rPr>
      </w:pPr>
      <w:r>
        <w:rPr>
          <w:rFonts w:ascii="Arial" w:hAnsi="Arial" w:cs="Arial"/>
          <w:sz w:val="24"/>
        </w:rPr>
        <w:t>10</w:t>
      </w:r>
      <w:r>
        <w:rPr>
          <w:rFonts w:hint="eastAsia" w:ascii="Arial" w:hAnsi="Arial" w:cs="Arial"/>
          <w:sz w:val="24"/>
        </w:rPr>
        <w:t>、多媒体会议系统；</w:t>
      </w:r>
    </w:p>
    <w:p>
      <w:pPr>
        <w:snapToGrid w:val="0"/>
        <w:spacing w:line="480" w:lineRule="exact"/>
        <w:rPr>
          <w:rFonts w:ascii="Arial" w:hAnsi="Arial" w:cs="Arial"/>
          <w:sz w:val="24"/>
        </w:rPr>
      </w:pPr>
      <w:r>
        <w:rPr>
          <w:rFonts w:ascii="Arial" w:hAnsi="Arial" w:cs="Arial"/>
          <w:sz w:val="24"/>
        </w:rPr>
        <w:t>11</w:t>
      </w:r>
      <w:r>
        <w:rPr>
          <w:rFonts w:hint="eastAsia" w:ascii="Arial" w:hAnsi="Arial" w:cs="Arial"/>
          <w:sz w:val="24"/>
        </w:rPr>
        <w:t>、站务呼叫广播系统；</w:t>
      </w:r>
    </w:p>
    <w:p>
      <w:pPr>
        <w:snapToGrid w:val="0"/>
        <w:spacing w:line="480" w:lineRule="exact"/>
        <w:rPr>
          <w:rFonts w:ascii="Arial" w:hAnsi="Arial" w:cs="Arial"/>
          <w:sz w:val="24"/>
        </w:rPr>
      </w:pPr>
      <w:r>
        <w:rPr>
          <w:rFonts w:ascii="Arial" w:hAnsi="Arial" w:cs="Arial"/>
          <w:sz w:val="24"/>
        </w:rPr>
        <w:t>12</w:t>
      </w:r>
      <w:r>
        <w:rPr>
          <w:rFonts w:hint="eastAsia" w:ascii="Arial" w:hAnsi="Arial" w:cs="Arial"/>
          <w:sz w:val="24"/>
        </w:rPr>
        <w:t>、站务信息发布系统；</w:t>
      </w:r>
    </w:p>
    <w:p>
      <w:pPr>
        <w:snapToGrid w:val="0"/>
        <w:spacing w:line="480" w:lineRule="exact"/>
        <w:rPr>
          <w:rFonts w:ascii="Arial" w:hAnsi="Arial" w:cs="Arial"/>
          <w:sz w:val="24"/>
        </w:rPr>
      </w:pPr>
      <w:r>
        <w:rPr>
          <w:rFonts w:ascii="Arial" w:hAnsi="Arial" w:cs="Arial"/>
          <w:sz w:val="24"/>
        </w:rPr>
        <w:t>13</w:t>
      </w:r>
      <w:r>
        <w:rPr>
          <w:rFonts w:hint="eastAsia" w:ascii="Arial" w:hAnsi="Arial" w:cs="Arial"/>
          <w:sz w:val="24"/>
        </w:rPr>
        <w:t>、综合安检系统；</w:t>
      </w:r>
    </w:p>
    <w:p>
      <w:pPr>
        <w:snapToGrid w:val="0"/>
        <w:spacing w:line="480" w:lineRule="exact"/>
        <w:rPr>
          <w:rFonts w:ascii="Arial" w:hAnsi="Arial" w:cs="Arial"/>
          <w:sz w:val="24"/>
        </w:rPr>
      </w:pPr>
      <w:r>
        <w:rPr>
          <w:rFonts w:ascii="Arial" w:hAnsi="Arial" w:cs="Arial"/>
          <w:sz w:val="24"/>
        </w:rPr>
        <w:t>14</w:t>
      </w:r>
      <w:r>
        <w:rPr>
          <w:rFonts w:hint="eastAsia" w:ascii="Arial" w:hAnsi="Arial" w:cs="Arial"/>
          <w:sz w:val="24"/>
        </w:rPr>
        <w:t>、售检票系统；</w:t>
      </w:r>
    </w:p>
    <w:p>
      <w:pPr>
        <w:snapToGrid w:val="0"/>
        <w:spacing w:line="480" w:lineRule="exact"/>
        <w:rPr>
          <w:rFonts w:ascii="Arial" w:hAnsi="Arial" w:cs="Arial"/>
          <w:sz w:val="24"/>
        </w:rPr>
      </w:pPr>
      <w:r>
        <w:rPr>
          <w:rFonts w:hint="eastAsia" w:ascii="Arial" w:hAnsi="Arial" w:cs="Arial"/>
          <w:sz w:val="24"/>
        </w:rPr>
        <w:t>15、</w:t>
      </w:r>
      <w:r>
        <w:rPr>
          <w:rFonts w:ascii="Arial" w:hAnsi="Arial" w:cs="Arial"/>
          <w:sz w:val="24"/>
        </w:rPr>
        <w:t>智慧停车及寻车系统</w:t>
      </w:r>
      <w:r>
        <w:rPr>
          <w:rFonts w:hint="eastAsia" w:ascii="Arial" w:hAnsi="Arial" w:cs="Arial"/>
          <w:sz w:val="24"/>
        </w:rPr>
        <w:t>；</w:t>
      </w:r>
    </w:p>
    <w:p>
      <w:pPr>
        <w:snapToGrid w:val="0"/>
        <w:spacing w:line="480" w:lineRule="exact"/>
        <w:rPr>
          <w:rFonts w:ascii="Arial" w:hAnsi="Arial" w:cs="Arial"/>
          <w:sz w:val="24"/>
        </w:rPr>
      </w:pPr>
      <w:r>
        <w:rPr>
          <w:rFonts w:ascii="Arial" w:hAnsi="Arial" w:cs="Arial"/>
          <w:sz w:val="24"/>
        </w:rPr>
        <w:t>16</w:t>
      </w:r>
      <w:r>
        <w:rPr>
          <w:rFonts w:hint="eastAsia" w:ascii="Arial" w:hAnsi="Arial" w:cs="Arial"/>
          <w:sz w:val="24"/>
        </w:rPr>
        <w:t>、其他（可由各设计单位自行设计，作推荐及备选系统）。</w:t>
      </w:r>
    </w:p>
    <w:p>
      <w:pPr>
        <w:keepNext/>
        <w:keepLines/>
        <w:spacing w:line="360" w:lineRule="auto"/>
        <w:jc w:val="left"/>
        <w:outlineLvl w:val="2"/>
        <w:rPr>
          <w:rFonts w:ascii="宋体" w:hAnsi="宋体" w:cs="宋体"/>
          <w:b/>
          <w:sz w:val="28"/>
          <w:szCs w:val="28"/>
        </w:rPr>
      </w:pPr>
      <w:r>
        <w:rPr>
          <w:rFonts w:hint="eastAsia" w:ascii="宋体" w:hAnsi="宋体" w:cs="宋体"/>
          <w:b/>
          <w:sz w:val="28"/>
          <w:szCs w:val="28"/>
        </w:rPr>
        <w:t>七、设计文件编制</w:t>
      </w:r>
    </w:p>
    <w:p>
      <w:pPr>
        <w:spacing w:line="360" w:lineRule="auto"/>
        <w:rPr>
          <w:rFonts w:ascii="宋体" w:hAnsi="宋体" w:cs="Arial"/>
          <w:sz w:val="24"/>
        </w:rPr>
      </w:pPr>
      <w:r>
        <w:rPr>
          <w:rFonts w:hint="eastAsia" w:ascii="宋体" w:hAnsi="宋体" w:cs="Arial"/>
          <w:sz w:val="24"/>
        </w:rPr>
        <w:t>（一）编制内容（参考）</w:t>
      </w:r>
    </w:p>
    <w:p>
      <w:pPr>
        <w:snapToGrid w:val="0"/>
        <w:spacing w:line="360" w:lineRule="auto"/>
        <w:rPr>
          <w:rFonts w:ascii="宋体" w:hAnsi="宋体" w:cs="Arial"/>
          <w:sz w:val="24"/>
        </w:rPr>
      </w:pPr>
      <w:r>
        <w:rPr>
          <w:rFonts w:ascii="宋体" w:hAnsi="宋体" w:cs="Arial"/>
          <w:b/>
          <w:sz w:val="24"/>
        </w:rPr>
        <w:t>1</w:t>
      </w:r>
      <w:r>
        <w:rPr>
          <w:rFonts w:hint="eastAsia" w:ascii="宋体" w:hAnsi="宋体" w:cs="Arial"/>
          <w:b/>
          <w:sz w:val="24"/>
        </w:rPr>
        <w:t>、</w:t>
      </w:r>
      <w:r>
        <w:rPr>
          <w:rFonts w:hint="eastAsia" w:ascii="宋体" w:hAnsi="宋体" w:cs="Arial"/>
          <w:sz w:val="24"/>
        </w:rPr>
        <w:t>设计说明</w:t>
      </w:r>
    </w:p>
    <w:p>
      <w:pPr>
        <w:snapToGrid w:val="0"/>
        <w:spacing w:line="360" w:lineRule="auto"/>
        <w:rPr>
          <w:rFonts w:ascii="宋体" w:hAnsi="宋体" w:cs="Arial"/>
          <w:sz w:val="24"/>
        </w:rPr>
      </w:pPr>
      <w:r>
        <w:rPr>
          <w:rFonts w:ascii="宋体" w:hAnsi="宋体" w:cs="Arial"/>
          <w:b/>
          <w:sz w:val="24"/>
        </w:rPr>
        <w:t xml:space="preserve">1.1 </w:t>
      </w:r>
      <w:r>
        <w:rPr>
          <w:rFonts w:hint="eastAsia" w:ascii="宋体" w:hAnsi="宋体" w:cs="Arial"/>
          <w:sz w:val="24"/>
        </w:rPr>
        <w:t>设计依据</w:t>
      </w:r>
    </w:p>
    <w:p>
      <w:pPr>
        <w:spacing w:line="360" w:lineRule="auto"/>
        <w:rPr>
          <w:rFonts w:ascii="宋体" w:hAnsi="宋体" w:cs="Arial"/>
          <w:sz w:val="24"/>
        </w:rPr>
      </w:pPr>
      <w:r>
        <w:rPr>
          <w:rFonts w:ascii="宋体" w:hAnsi="宋体" w:cs="Arial"/>
          <w:b/>
          <w:sz w:val="24"/>
        </w:rPr>
        <w:t>1.2</w:t>
      </w:r>
      <w:r>
        <w:rPr>
          <w:rFonts w:ascii="宋体" w:hAnsi="宋体" w:cs="Arial"/>
          <w:sz w:val="24"/>
        </w:rPr>
        <w:t xml:space="preserve"> </w:t>
      </w:r>
      <w:r>
        <w:rPr>
          <w:rFonts w:hint="eastAsia" w:ascii="宋体" w:hAnsi="宋体" w:cs="Arial"/>
          <w:sz w:val="24"/>
        </w:rPr>
        <w:t>设计理念和指导思想</w:t>
      </w:r>
    </w:p>
    <w:p>
      <w:pPr>
        <w:spacing w:line="360" w:lineRule="auto"/>
        <w:rPr>
          <w:rFonts w:ascii="宋体" w:hAnsi="宋体" w:cs="Arial"/>
          <w:sz w:val="24"/>
        </w:rPr>
      </w:pPr>
      <w:r>
        <w:rPr>
          <w:rFonts w:ascii="宋体" w:hAnsi="宋体" w:cs="Arial"/>
          <w:b/>
          <w:sz w:val="24"/>
        </w:rPr>
        <w:t>1.3</w:t>
      </w:r>
      <w:r>
        <w:rPr>
          <w:rFonts w:ascii="宋体" w:hAnsi="宋体" w:cs="Arial"/>
          <w:sz w:val="24"/>
        </w:rPr>
        <w:t xml:space="preserve"> </w:t>
      </w:r>
      <w:r>
        <w:rPr>
          <w:rFonts w:hint="eastAsia" w:ascii="宋体" w:hAnsi="宋体" w:cs="Arial"/>
          <w:sz w:val="24"/>
        </w:rPr>
        <w:t>设计方案综合说明</w:t>
      </w:r>
    </w:p>
    <w:p>
      <w:pPr>
        <w:spacing w:line="360" w:lineRule="auto"/>
        <w:rPr>
          <w:rFonts w:ascii="宋体" w:hAnsi="宋体" w:cs="Arial"/>
          <w:sz w:val="24"/>
        </w:rPr>
      </w:pPr>
      <w:r>
        <w:rPr>
          <w:rFonts w:ascii="宋体" w:hAnsi="宋体" w:cs="Arial"/>
          <w:b/>
          <w:sz w:val="24"/>
        </w:rPr>
        <w:t>1.4</w:t>
      </w:r>
      <w:r>
        <w:rPr>
          <w:rFonts w:hint="eastAsia" w:ascii="宋体" w:hAnsi="宋体" w:cs="Arial"/>
          <w:sz w:val="24"/>
        </w:rPr>
        <w:t>选材分析</w:t>
      </w:r>
    </w:p>
    <w:p>
      <w:pPr>
        <w:spacing w:line="360" w:lineRule="auto"/>
        <w:rPr>
          <w:rFonts w:ascii="宋体" w:hAnsi="宋体" w:cs="Arial"/>
          <w:sz w:val="24"/>
        </w:rPr>
      </w:pPr>
      <w:r>
        <w:rPr>
          <w:rFonts w:ascii="宋体" w:hAnsi="宋体" w:cs="Arial"/>
          <w:b/>
          <w:sz w:val="24"/>
        </w:rPr>
        <w:t>2</w:t>
      </w:r>
      <w:r>
        <w:rPr>
          <w:rFonts w:hint="eastAsia" w:ascii="宋体" w:hAnsi="宋体" w:cs="Arial"/>
          <w:sz w:val="24"/>
        </w:rPr>
        <w:t>、工程投资估算（均以综合单价型式报价）</w:t>
      </w:r>
    </w:p>
    <w:p>
      <w:pPr>
        <w:spacing w:line="360" w:lineRule="auto"/>
        <w:rPr>
          <w:rFonts w:ascii="宋体" w:hAnsi="宋体" w:cs="Arial"/>
          <w:sz w:val="24"/>
        </w:rPr>
      </w:pPr>
      <w:r>
        <w:rPr>
          <w:rFonts w:ascii="宋体" w:hAnsi="宋体" w:cs="Arial"/>
          <w:b/>
          <w:sz w:val="24"/>
        </w:rPr>
        <w:t>3</w:t>
      </w:r>
      <w:r>
        <w:rPr>
          <w:rFonts w:hint="eastAsia" w:ascii="宋体" w:hAnsi="宋体" w:cs="Arial"/>
          <w:b/>
          <w:sz w:val="24"/>
        </w:rPr>
        <w:t>、</w:t>
      </w:r>
      <w:r>
        <w:rPr>
          <w:rFonts w:hint="eastAsia" w:ascii="宋体" w:hAnsi="宋体" w:cs="Arial"/>
          <w:sz w:val="24"/>
        </w:rPr>
        <w:t>设计图纸</w:t>
      </w:r>
    </w:p>
    <w:p>
      <w:pPr>
        <w:spacing w:line="360" w:lineRule="auto"/>
        <w:rPr>
          <w:rFonts w:ascii="宋体" w:hAnsi="宋体" w:cs="Arial"/>
          <w:sz w:val="24"/>
        </w:rPr>
      </w:pPr>
      <w:r>
        <w:rPr>
          <w:rFonts w:ascii="宋体" w:hAnsi="宋体" w:cs="Arial"/>
          <w:b/>
          <w:sz w:val="24"/>
        </w:rPr>
        <w:t>3.1</w:t>
      </w:r>
      <w:r>
        <w:rPr>
          <w:rFonts w:ascii="宋体" w:hAnsi="宋体" w:cs="Arial"/>
          <w:sz w:val="24"/>
        </w:rPr>
        <w:t xml:space="preserve"> </w:t>
      </w:r>
      <w:r>
        <w:rPr>
          <w:rFonts w:hint="eastAsia" w:ascii="宋体" w:hAnsi="宋体" w:cs="Arial"/>
          <w:sz w:val="24"/>
        </w:rPr>
        <w:t>各系统平面图</w:t>
      </w:r>
    </w:p>
    <w:p>
      <w:pPr>
        <w:spacing w:line="360" w:lineRule="auto"/>
        <w:rPr>
          <w:rFonts w:ascii="宋体" w:hAnsi="宋体" w:cs="Arial"/>
          <w:sz w:val="24"/>
        </w:rPr>
      </w:pPr>
      <w:r>
        <w:rPr>
          <w:rFonts w:ascii="宋体" w:hAnsi="宋体" w:cs="Arial"/>
          <w:b/>
          <w:sz w:val="24"/>
        </w:rPr>
        <w:t>3.2</w:t>
      </w:r>
      <w:r>
        <w:rPr>
          <w:rFonts w:ascii="宋体" w:hAnsi="宋体" w:cs="Arial"/>
          <w:sz w:val="24"/>
        </w:rPr>
        <w:t xml:space="preserve"> </w:t>
      </w:r>
      <w:r>
        <w:rPr>
          <w:rFonts w:hint="eastAsia" w:ascii="宋体" w:hAnsi="宋体" w:cs="Arial"/>
          <w:sz w:val="24"/>
        </w:rPr>
        <w:t>各系统系统图</w:t>
      </w:r>
    </w:p>
    <w:p>
      <w:pPr>
        <w:spacing w:line="360" w:lineRule="auto"/>
        <w:rPr>
          <w:rFonts w:ascii="宋体" w:hAnsi="宋体" w:cs="Arial"/>
          <w:sz w:val="24"/>
        </w:rPr>
      </w:pPr>
      <w:r>
        <w:rPr>
          <w:rFonts w:ascii="宋体" w:hAnsi="宋体" w:cs="Arial"/>
          <w:b/>
          <w:sz w:val="24"/>
        </w:rPr>
        <w:t>4</w:t>
      </w:r>
      <w:r>
        <w:rPr>
          <w:rFonts w:hint="eastAsia" w:ascii="宋体" w:hAnsi="宋体" w:cs="Arial"/>
          <w:b/>
          <w:sz w:val="24"/>
        </w:rPr>
        <w:t>、</w:t>
      </w:r>
      <w:r>
        <w:rPr>
          <w:rFonts w:hint="eastAsia" w:ascii="宋体" w:hAnsi="宋体" w:cs="Arial"/>
          <w:sz w:val="24"/>
        </w:rPr>
        <w:t>电子文件（包含全部投标设计文件内容）；</w:t>
      </w:r>
    </w:p>
    <w:p>
      <w:pPr>
        <w:spacing w:line="360" w:lineRule="auto"/>
        <w:rPr>
          <w:rFonts w:ascii="宋体" w:hAnsi="宋体" w:cs="Arial"/>
          <w:sz w:val="24"/>
        </w:rPr>
      </w:pPr>
      <w:r>
        <w:rPr>
          <w:rFonts w:ascii="宋体" w:hAnsi="宋体" w:cs="Arial"/>
          <w:b/>
          <w:sz w:val="24"/>
        </w:rPr>
        <w:t>5</w:t>
      </w:r>
      <w:r>
        <w:rPr>
          <w:rFonts w:hint="eastAsia" w:ascii="宋体" w:hAnsi="宋体" w:cs="Arial"/>
          <w:b/>
          <w:sz w:val="24"/>
        </w:rPr>
        <w:t>、</w:t>
      </w:r>
      <w:r>
        <w:rPr>
          <w:rFonts w:hint="eastAsia" w:ascii="宋体" w:hAnsi="宋体" w:cs="Arial"/>
          <w:sz w:val="24"/>
        </w:rPr>
        <w:t>其它</w:t>
      </w:r>
    </w:p>
    <w:p>
      <w:pPr>
        <w:spacing w:line="360" w:lineRule="auto"/>
        <w:rPr>
          <w:rFonts w:ascii="宋体" w:hAnsi="宋体" w:cs="Arial"/>
          <w:sz w:val="24"/>
        </w:rPr>
      </w:pPr>
      <w:r>
        <w:rPr>
          <w:rFonts w:ascii="宋体" w:hAnsi="宋体" w:cs="Arial"/>
          <w:b/>
          <w:sz w:val="24"/>
        </w:rPr>
        <w:t>5.1</w:t>
      </w:r>
      <w:r>
        <w:rPr>
          <w:rFonts w:ascii="宋体" w:hAnsi="宋体" w:cs="Arial"/>
          <w:sz w:val="24"/>
        </w:rPr>
        <w:t xml:space="preserve"> </w:t>
      </w:r>
      <w:r>
        <w:rPr>
          <w:rFonts w:hint="eastAsia" w:ascii="宋体" w:hAnsi="宋体" w:cs="Arial"/>
          <w:sz w:val="24"/>
        </w:rPr>
        <w:t>工程设计方案建议</w:t>
      </w:r>
    </w:p>
    <w:p>
      <w:pPr>
        <w:spacing w:line="360" w:lineRule="auto"/>
        <w:rPr>
          <w:rFonts w:ascii="宋体" w:hAnsi="宋体" w:cs="Arial"/>
          <w:sz w:val="24"/>
        </w:rPr>
      </w:pPr>
      <w:r>
        <w:rPr>
          <w:rFonts w:hint="eastAsia" w:ascii="宋体" w:hAnsi="宋体" w:cs="Arial"/>
          <w:b/>
          <w:sz w:val="24"/>
        </w:rPr>
        <w:t>5.2</w:t>
      </w:r>
      <w:r>
        <w:rPr>
          <w:rFonts w:ascii="宋体" w:hAnsi="宋体" w:cs="Arial"/>
          <w:b/>
          <w:sz w:val="24"/>
        </w:rPr>
        <w:t xml:space="preserve"> </w:t>
      </w:r>
      <w:r>
        <w:rPr>
          <w:rFonts w:hint="eastAsia" w:ascii="宋体" w:hAnsi="宋体" w:cs="Arial"/>
          <w:sz w:val="24"/>
        </w:rPr>
        <w:t>其它要求</w:t>
      </w:r>
    </w:p>
    <w:p>
      <w:pPr>
        <w:spacing w:line="360" w:lineRule="auto"/>
        <w:rPr>
          <w:rFonts w:ascii="宋体" w:hAnsi="宋体" w:cs="Arial"/>
          <w:sz w:val="24"/>
        </w:rPr>
      </w:pPr>
      <w:r>
        <w:rPr>
          <w:rFonts w:hint="eastAsia" w:ascii="宋体" w:hAnsi="宋体" w:cs="Arial"/>
          <w:sz w:val="24"/>
        </w:rPr>
        <w:t>5.2.1、设计人应协助建设方开展建筑智能化工程招标时的相关工作，包括但不限于招标答疑、询标、合同谈判等环节。</w:t>
      </w:r>
    </w:p>
    <w:p>
      <w:pPr>
        <w:spacing w:line="360" w:lineRule="auto"/>
        <w:rPr>
          <w:rFonts w:ascii="宋体" w:hAnsi="宋体" w:cs="Arial"/>
          <w:sz w:val="24"/>
        </w:rPr>
      </w:pPr>
      <w:r>
        <w:rPr>
          <w:rFonts w:hint="eastAsia" w:ascii="宋体" w:hAnsi="宋体" w:cs="Arial"/>
          <w:sz w:val="24"/>
        </w:rPr>
        <w:t>5.2.2、设计人应及时参加设计交底、图纸会审等环节，及时解答施工人提出的各类技术问题；同时协助建设方审核施工单位提报的建筑智能化工程施工方案，确保施工方案符合建筑智能化设计文件的要求；</w:t>
      </w:r>
    </w:p>
    <w:p>
      <w:pPr>
        <w:spacing w:line="360" w:lineRule="auto"/>
        <w:rPr>
          <w:rFonts w:ascii="宋体" w:hAnsi="宋体" w:cs="Arial"/>
          <w:sz w:val="24"/>
        </w:rPr>
      </w:pPr>
      <w:r>
        <w:rPr>
          <w:rFonts w:hint="eastAsia" w:ascii="宋体" w:hAnsi="宋体" w:cs="Arial"/>
          <w:sz w:val="24"/>
        </w:rPr>
        <w:t>5.2.3、设计人应按照建设方的要求及时解决现场技术问题、需要修改设计的应及时提交设计修改通知书；参与建设方定期组织的节点验收工作（包括设备到货检验等）以及重大环节的验收活动、并签署设计方验收意见。</w:t>
      </w:r>
    </w:p>
    <w:p>
      <w:pPr>
        <w:spacing w:line="360" w:lineRule="auto"/>
        <w:rPr>
          <w:rFonts w:ascii="宋体" w:hAnsi="宋体" w:cs="Arial"/>
          <w:sz w:val="24"/>
        </w:rPr>
      </w:pPr>
      <w:r>
        <w:rPr>
          <w:rFonts w:hint="eastAsia" w:ascii="宋体" w:hAnsi="宋体" w:cs="Arial"/>
          <w:sz w:val="24"/>
        </w:rPr>
        <w:t>（二）编制要求</w:t>
      </w:r>
      <w:r>
        <w:rPr>
          <w:rFonts w:ascii="宋体" w:hAnsi="宋体" w:cs="Arial"/>
          <w:sz w:val="24"/>
        </w:rPr>
        <w:t xml:space="preserve"> </w:t>
      </w:r>
    </w:p>
    <w:p>
      <w:pPr>
        <w:spacing w:line="360" w:lineRule="auto"/>
        <w:rPr>
          <w:rFonts w:ascii="宋体" w:hAnsi="宋体" w:cs="Arial"/>
          <w:sz w:val="24"/>
        </w:rPr>
      </w:pPr>
      <w:r>
        <w:rPr>
          <w:rFonts w:ascii="宋体" w:hAnsi="宋体" w:cs="Arial"/>
          <w:sz w:val="24"/>
        </w:rPr>
        <w:t>1</w:t>
      </w:r>
      <w:r>
        <w:rPr>
          <w:rFonts w:hint="eastAsia" w:ascii="宋体" w:hAnsi="宋体" w:cs="Arial"/>
          <w:sz w:val="24"/>
        </w:rPr>
        <w:t>、设计方案深度应符合相关规范及规定。</w:t>
      </w:r>
    </w:p>
    <w:p>
      <w:pPr>
        <w:spacing w:line="360" w:lineRule="auto"/>
        <w:rPr>
          <w:rFonts w:ascii="宋体" w:hAnsi="宋体" w:cs="Arial"/>
          <w:sz w:val="24"/>
        </w:rPr>
      </w:pPr>
      <w:r>
        <w:rPr>
          <w:rFonts w:ascii="宋体" w:hAnsi="宋体" w:cs="Arial"/>
          <w:sz w:val="24"/>
        </w:rPr>
        <w:t>2</w:t>
      </w:r>
      <w:r>
        <w:rPr>
          <w:rFonts w:hint="eastAsia" w:ascii="宋体" w:hAnsi="宋体" w:cs="Arial"/>
          <w:sz w:val="24"/>
        </w:rPr>
        <w:t>、设计说明、工程投资估算一起装订成册，设计图纸提供光盘电子版。</w:t>
      </w:r>
    </w:p>
    <w:p>
      <w:pPr>
        <w:spacing w:line="360" w:lineRule="auto"/>
        <w:rPr>
          <w:rFonts w:ascii="宋体" w:hAnsi="宋体" w:cs="Arial"/>
          <w:sz w:val="24"/>
        </w:rPr>
      </w:pPr>
      <w:r>
        <w:rPr>
          <w:rFonts w:ascii="宋体" w:hAnsi="宋体" w:cs="Arial"/>
          <w:sz w:val="24"/>
        </w:rPr>
        <w:t>4</w:t>
      </w:r>
      <w:r>
        <w:rPr>
          <w:rFonts w:hint="eastAsia" w:ascii="宋体" w:hAnsi="宋体" w:cs="Arial"/>
          <w:sz w:val="24"/>
        </w:rPr>
        <w:t>、全套设计文件电子版文件一份。</w:t>
      </w:r>
    </w:p>
    <w:p>
      <w:pPr>
        <w:spacing w:line="360" w:lineRule="auto"/>
        <w:ind w:firstLine="480"/>
        <w:rPr>
          <w:rFonts w:ascii="宋体" w:hAnsi="宋体" w:cs="Arial"/>
          <w:sz w:val="24"/>
        </w:rPr>
      </w:pPr>
      <w:r>
        <w:rPr>
          <w:rFonts w:hint="eastAsia" w:ascii="宋体" w:hAnsi="宋体" w:cs="Arial"/>
          <w:sz w:val="24"/>
        </w:rPr>
        <w:t>除以上基本要求外，设计者可使用其它合理设计手段，进一步完善设计意图。</w:t>
      </w:r>
    </w:p>
    <w:p>
      <w:pPr>
        <w:keepNext/>
        <w:keepLines/>
        <w:spacing w:line="360" w:lineRule="auto"/>
        <w:jc w:val="left"/>
        <w:outlineLvl w:val="2"/>
        <w:rPr>
          <w:rFonts w:ascii="宋体" w:hAnsi="宋体" w:cs="宋体"/>
          <w:b/>
          <w:sz w:val="28"/>
          <w:szCs w:val="28"/>
        </w:rPr>
      </w:pPr>
      <w:r>
        <w:rPr>
          <w:rFonts w:hint="eastAsia" w:ascii="宋体" w:hAnsi="宋体" w:cs="宋体"/>
          <w:b/>
          <w:sz w:val="28"/>
          <w:szCs w:val="28"/>
        </w:rPr>
        <w:t>八、包括不限于以下技术规范</w:t>
      </w:r>
    </w:p>
    <w:p>
      <w:pPr>
        <w:spacing w:line="360" w:lineRule="auto"/>
        <w:ind w:firstLine="480" w:firstLineChars="200"/>
        <w:rPr>
          <w:rFonts w:ascii="宋体" w:hAnsi="宋体" w:cs="Arial"/>
          <w:sz w:val="24"/>
        </w:rPr>
      </w:pPr>
      <w:r>
        <w:rPr>
          <w:rFonts w:hint="eastAsia" w:ascii="宋体" w:hAnsi="宋体" w:cs="Arial"/>
          <w:sz w:val="24"/>
        </w:rPr>
        <w:t>建筑智能化系统工程在设计、施工中必须依据以下国家有关的设计标准、规范，产品标准、规范，工程标准、规范，验收标准、规范；所有应符合国家有关条例及规范，若有新的标准规范应采纳新标准；这些标准包括（但不仅限于）以下内容：</w:t>
      </w:r>
    </w:p>
    <w:p>
      <w:pPr>
        <w:pStyle w:val="73"/>
        <w:numPr>
          <w:ilvl w:val="0"/>
          <w:numId w:val="2"/>
        </w:numPr>
        <w:tabs>
          <w:tab w:val="left" w:pos="567"/>
          <w:tab w:val="left" w:pos="851"/>
          <w:tab w:val="left" w:pos="993"/>
        </w:tabs>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《汽车客运站建筑设计规范》(JGJ60-2004)</w:t>
      </w:r>
    </w:p>
    <w:p>
      <w:pPr>
        <w:pStyle w:val="73"/>
        <w:numPr>
          <w:ilvl w:val="0"/>
          <w:numId w:val="2"/>
        </w:numPr>
        <w:tabs>
          <w:tab w:val="left" w:pos="567"/>
          <w:tab w:val="left" w:pos="851"/>
          <w:tab w:val="left" w:pos="993"/>
        </w:tabs>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《智能建筑设计标准》（GB/T50314—2015）</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《智能建筑工程质量验收规范》（GB 50339-2016）</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《智能建筑工程施工规范》（GB 50606—2010）</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《建筑电气工程施工质量验收规范》（ GB50303-2015）</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《民用建筑电气设计规范》（JGJ 16-2008）</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《民用建筑设计通则》GB50352-2005</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《通信管道与通道工程设计规范》（GB 50373-2006）</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《通信管道工程施工及验收规范》（GB 50374-2006）</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《安全防范工程技术规范》(GB 50348-2018)</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《视频安防监控系统工程设计规范》(GB 50395-2016)</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《民用闭路监视电视系统工程技术规范》（GB 50198-2011）</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《安全防范视频监控联网系统信息传输、交换、控制技术要求》（GB/T28181-2011）</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《入侵报警系统工程设计规范》(GB 50394-2007)</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《入侵报警系统技术要求》GA/T368—2016</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《出入口控制系统工程设计规范》(GB 50396-2007)</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《综合布线系统工程设计规范》（GB 50311-2016）</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《综合布线系统工程验收规范》（GB 50312-2016）</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《商用建筑线缆标准》（EIA/TIA-568A）</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《商用建筑通讯布线标准》（EIA/TIA-568B）</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《商用建筑通信通道和空间标准》（EIA/TIA-569）</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《公用计算机互联网工程设计规范》（YDT 5037-2005）</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《LED显示屏通用规范》（SJ/T11141-2016）</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 xml:space="preserve">《会议电视系统工程设计规范》YD5032-2005 </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《会议电视系统工程验收规范》YD5033-2005</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《视频显示系统工程技术规范》（GB 50464-2008）</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《厅堂扩声系统设计规范》（GB 50371-2006）</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《公共广播系统工程技术规范》（GB 50526-2010）</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《扩声、会议系统安装工程施工及验收规范》（GY 5055-2008）</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《电子信息系统机房设计规范》（GB 50174-2008）</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《电子信息系统机房施工及验收规范》（GB 50462-2016）</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 xml:space="preserve">《建筑物防雷设计规范》(GB 50057-2011) </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《建筑物电子信息系统防雷技术规范》（GB 50343-2012）</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《电气装置安装工程接地施工及验收规范》（GB50169-2016）</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《供配电系统设计规范》（GB 50052-2009）</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《低压配电设计规范》（GB50054-2011）</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《信息技术设备包括电气设备的安全》（GB4943-2011）</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《30MHz~1GHz声音和电视信号电缆分配系统》GB6510-1986</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 xml:space="preserve">《中华人民共和国计算机信息系统安全保护条例》（国务院147号令）2010-07-27） </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《计算机信息网络国际联网安全保护管理办法》（公安部第33号令）（2010-07-26）</w:t>
      </w:r>
    </w:p>
    <w:p>
      <w:pPr>
        <w:pStyle w:val="73"/>
        <w:numPr>
          <w:ilvl w:val="0"/>
          <w:numId w:val="2"/>
        </w:numPr>
        <w:spacing w:line="360" w:lineRule="auto"/>
        <w:ind w:firstLineChars="0"/>
        <w:jc w:val="left"/>
        <w:rPr>
          <w:rFonts w:asciiTheme="majorEastAsia" w:hAnsiTheme="majorEastAsia" w:eastAsiaTheme="majorEastAsia"/>
          <w:sz w:val="24"/>
          <w:szCs w:val="21"/>
        </w:rPr>
      </w:pPr>
      <w:r>
        <w:rPr>
          <w:rFonts w:asciiTheme="majorEastAsia" w:hAnsiTheme="majorEastAsia" w:eastAsiaTheme="majorEastAsia"/>
          <w:sz w:val="24"/>
          <w:szCs w:val="21"/>
        </w:rPr>
        <w:t>《网络与信息安全体系建设基本技术要求》（2010-07-29）</w:t>
      </w:r>
    </w:p>
    <w:p>
      <w:pPr>
        <w:spacing w:line="360" w:lineRule="auto"/>
        <w:ind w:firstLine="480" w:firstLineChars="200"/>
        <w:rPr>
          <w:rFonts w:ascii="宋体" w:hAnsi="宋体" w:cs="Arial"/>
          <w:sz w:val="24"/>
        </w:rPr>
      </w:pPr>
      <w:r>
        <w:rPr>
          <w:rFonts w:hint="eastAsia" w:ascii="宋体" w:hAnsi="宋体" w:cs="Arial"/>
          <w:sz w:val="24"/>
        </w:rPr>
        <w:t>上述技术标准和规范如果有不足之处或者未能达到国家或国际最新标准的时候，系统供应商应使系统的设计、施工以及选用的设备和材料符合最新版的国际和国家的标准、规范，并提供采用的国家和国际标准、规范以及所采用的版本的有关技术资料。</w:t>
      </w:r>
    </w:p>
    <w:p>
      <w:pPr>
        <w:keepNext/>
        <w:keepLines/>
        <w:spacing w:line="360" w:lineRule="auto"/>
        <w:jc w:val="left"/>
        <w:outlineLvl w:val="2"/>
        <w:rPr>
          <w:rFonts w:ascii="宋体" w:hAnsi="宋体" w:cs="宋体"/>
          <w:b/>
          <w:sz w:val="28"/>
          <w:szCs w:val="28"/>
        </w:rPr>
      </w:pPr>
      <w:bookmarkStart w:id="435" w:name="_Toc316998019"/>
      <w:bookmarkStart w:id="436" w:name="_Toc446074747"/>
      <w:bookmarkStart w:id="437" w:name="_Toc390076192"/>
      <w:r>
        <w:rPr>
          <w:rFonts w:hint="eastAsia" w:ascii="宋体" w:hAnsi="宋体" w:cs="宋体"/>
          <w:b/>
          <w:sz w:val="28"/>
          <w:szCs w:val="28"/>
        </w:rPr>
        <w:t>九、其他事项</w:t>
      </w:r>
      <w:bookmarkEnd w:id="435"/>
      <w:bookmarkEnd w:id="436"/>
      <w:bookmarkEnd w:id="437"/>
    </w:p>
    <w:p>
      <w:pPr>
        <w:numPr>
          <w:ilvl w:val="0"/>
          <w:numId w:val="3"/>
        </w:numPr>
        <w:spacing w:line="360" w:lineRule="auto"/>
        <w:ind w:left="284" w:hanging="284"/>
        <w:rPr>
          <w:rFonts w:ascii="宋体" w:hAnsi="宋体" w:cs="Arial"/>
          <w:sz w:val="24"/>
        </w:rPr>
      </w:pPr>
      <w:r>
        <w:rPr>
          <w:rFonts w:hint="eastAsia" w:ascii="宋体" w:hAnsi="宋体" w:cs="Arial"/>
          <w:sz w:val="24"/>
        </w:rPr>
        <w:t>设计单位的设计文件概不退还。</w:t>
      </w:r>
    </w:p>
    <w:p>
      <w:pPr>
        <w:numPr>
          <w:ilvl w:val="0"/>
          <w:numId w:val="3"/>
        </w:numPr>
        <w:spacing w:line="360" w:lineRule="auto"/>
        <w:ind w:left="284" w:hanging="284"/>
        <w:rPr>
          <w:rFonts w:ascii="宋体" w:hAnsi="宋体" w:cs="Arial"/>
          <w:sz w:val="24"/>
        </w:rPr>
      </w:pPr>
      <w:r>
        <w:rPr>
          <w:rFonts w:hint="eastAsia" w:ascii="宋体" w:hAnsi="宋体" w:cs="Arial"/>
          <w:sz w:val="24"/>
        </w:rPr>
        <w:t>本设计任务书未提及或不详部分按照国家有关现行规定执行。</w:t>
      </w:r>
    </w:p>
    <w:p>
      <w:pPr>
        <w:numPr>
          <w:ilvl w:val="0"/>
          <w:numId w:val="3"/>
        </w:numPr>
        <w:spacing w:line="360" w:lineRule="auto"/>
        <w:ind w:left="284" w:hanging="284"/>
        <w:rPr>
          <w:rFonts w:ascii="宋体" w:hAnsi="宋体" w:cs="Arial"/>
          <w:sz w:val="24"/>
        </w:rPr>
      </w:pPr>
      <w:r>
        <w:rPr>
          <w:rFonts w:hint="eastAsia" w:ascii="宋体" w:hAnsi="宋体" w:cs="Arial"/>
          <w:sz w:val="24"/>
        </w:rPr>
        <w:t>投标人应认真踏勘现场，熟悉现场及场内地形、地貌、交通道路等情况，仔细检查场地内现有设施和施工空间，中标后，不得以不完全了解现场情况为理由而提出额外的付款或延长工期等要求。</w:t>
      </w:r>
    </w:p>
    <w:p>
      <w:pPr>
        <w:numPr>
          <w:ilvl w:val="0"/>
          <w:numId w:val="3"/>
        </w:numPr>
        <w:spacing w:line="360" w:lineRule="auto"/>
        <w:ind w:left="284" w:hanging="284"/>
        <w:rPr>
          <w:rFonts w:ascii="宋体" w:hAnsi="宋体" w:cs="Arial"/>
          <w:sz w:val="24"/>
        </w:rPr>
      </w:pPr>
      <w:r>
        <w:rPr>
          <w:rFonts w:hint="eastAsia" w:ascii="宋体" w:hAnsi="宋体" w:cs="Arial"/>
          <w:sz w:val="24"/>
        </w:rPr>
        <w:t>方案设计和施工图设计完成后，设计单位应根据甲方提供的有关资料及要求，保持与甲方的密切接触，随时调整、改进方案设计和施工图设计，直至甲方满意并确认为止。</w:t>
      </w:r>
    </w:p>
    <w:p>
      <w:pPr>
        <w:numPr>
          <w:ilvl w:val="0"/>
          <w:numId w:val="3"/>
        </w:numPr>
        <w:spacing w:line="360" w:lineRule="auto"/>
        <w:ind w:left="284" w:hanging="284"/>
        <w:rPr>
          <w:rFonts w:ascii="宋体" w:hAnsi="宋体" w:cs="Arial"/>
          <w:sz w:val="24"/>
        </w:rPr>
      </w:pPr>
      <w:r>
        <w:rPr>
          <w:rFonts w:hint="eastAsia" w:ascii="宋体" w:hAnsi="宋体" w:cs="Arial"/>
          <w:sz w:val="24"/>
        </w:rPr>
        <w:t>参加由建设单位、监理单位主持的需由设计人参加的相关工程会议。</w:t>
      </w:r>
    </w:p>
    <w:p>
      <w:pPr>
        <w:numPr>
          <w:ilvl w:val="0"/>
          <w:numId w:val="3"/>
        </w:numPr>
        <w:spacing w:line="360" w:lineRule="auto"/>
        <w:ind w:left="284" w:hanging="284"/>
        <w:rPr>
          <w:rFonts w:ascii="宋体" w:hAnsi="宋体" w:cs="Arial"/>
          <w:sz w:val="24"/>
        </w:rPr>
      </w:pPr>
      <w:r>
        <w:rPr>
          <w:rFonts w:hint="eastAsia" w:ascii="宋体" w:hAnsi="宋体" w:cs="Arial"/>
          <w:sz w:val="24"/>
        </w:rPr>
        <w:t>确认设计单位后，设计单位在3日内报送《设计进度计划表》和《设计人员名单》三份。</w:t>
      </w:r>
    </w:p>
    <w:p>
      <w:pPr>
        <w:numPr>
          <w:ilvl w:val="0"/>
          <w:numId w:val="3"/>
        </w:numPr>
        <w:spacing w:line="360" w:lineRule="auto"/>
        <w:ind w:left="284" w:hanging="284"/>
        <w:rPr>
          <w:rFonts w:ascii="宋体" w:hAnsi="宋体" w:cs="Arial"/>
          <w:sz w:val="24"/>
        </w:rPr>
      </w:pPr>
      <w:r>
        <w:rPr>
          <w:rFonts w:hint="eastAsia" w:ascii="宋体" w:hAnsi="宋体" w:cs="Arial"/>
          <w:sz w:val="24"/>
        </w:rPr>
        <w:t>设计单位应配合其他专业设计及施工进行修改和完善。</w:t>
      </w:r>
    </w:p>
    <w:p>
      <w:pPr>
        <w:numPr>
          <w:ilvl w:val="0"/>
          <w:numId w:val="3"/>
        </w:numPr>
        <w:spacing w:line="360" w:lineRule="auto"/>
        <w:ind w:left="284" w:hanging="284"/>
        <w:rPr>
          <w:rFonts w:ascii="宋体" w:hAnsi="宋体" w:cs="Arial"/>
          <w:sz w:val="24"/>
        </w:rPr>
      </w:pPr>
      <w:r>
        <w:rPr>
          <w:rFonts w:hint="eastAsia" w:ascii="宋体" w:hAnsi="宋体" w:cs="Arial"/>
          <w:sz w:val="24"/>
        </w:rPr>
        <w:t>设计单位的智能化设计图纸必须经项目设计总承包单位确认。</w:t>
      </w:r>
    </w:p>
    <w:p>
      <w:pPr>
        <w:numPr>
          <w:ilvl w:val="0"/>
          <w:numId w:val="3"/>
        </w:numPr>
        <w:spacing w:line="360" w:lineRule="auto"/>
        <w:ind w:left="284" w:hanging="284"/>
        <w:rPr>
          <w:rFonts w:ascii="宋体" w:hAnsi="宋体" w:cs="Arial"/>
          <w:sz w:val="24"/>
        </w:rPr>
      </w:pPr>
      <w:r>
        <w:rPr>
          <w:rFonts w:hint="eastAsia" w:ascii="宋体" w:hAnsi="宋体" w:cs="Arial"/>
          <w:sz w:val="24"/>
        </w:rPr>
        <w:t>智能化设计单位在中标后的方案设计、施工图设计以及施工过程中须无条件根据业主实际需求进行调整。</w:t>
      </w:r>
    </w:p>
    <w:p>
      <w:pPr>
        <w:spacing w:line="240" w:lineRule="atLeast"/>
        <w:ind w:firstLine="720" w:firstLineChars="200"/>
        <w:rPr>
          <w:rFonts w:ascii="宋体" w:hAnsi="宋体"/>
          <w:sz w:val="36"/>
          <w:szCs w:val="36"/>
        </w:rPr>
      </w:pPr>
    </w:p>
    <w:p>
      <w:pPr>
        <w:jc w:val="center"/>
        <w:rPr>
          <w:rFonts w:ascii="宋体" w:hAnsi="宋体"/>
          <w:b/>
          <w:color w:val="FF0000"/>
          <w:sz w:val="28"/>
          <w:szCs w:val="28"/>
        </w:rPr>
      </w:pPr>
    </w:p>
    <w:p>
      <w:pPr>
        <w:pStyle w:val="2"/>
      </w:pPr>
      <w:bookmarkStart w:id="438" w:name="_Toc492300524"/>
      <w:bookmarkStart w:id="439" w:name="_Toc144974578"/>
      <w:bookmarkStart w:id="440" w:name="_Toc144974829"/>
      <w:bookmarkStart w:id="441" w:name="_Toc247514197"/>
      <w:bookmarkStart w:id="442" w:name="_Toc152042549"/>
      <w:bookmarkStart w:id="443" w:name="_Toc184635122"/>
      <w:bookmarkStart w:id="444" w:name="_Toc300835199"/>
      <w:bookmarkStart w:id="445" w:name="_Toc152042388"/>
      <w:bookmarkStart w:id="446" w:name="_Toc247527798"/>
      <w:bookmarkStart w:id="447" w:name="_Toc152045610"/>
      <w:r>
        <w:rPr>
          <w:rFonts w:hint="eastAsia"/>
        </w:rPr>
        <w:br w:type="page"/>
      </w:r>
    </w:p>
    <w:p>
      <w:pPr>
        <w:pStyle w:val="2"/>
        <w:numPr>
          <w:ilvl w:val="0"/>
          <w:numId w:val="0"/>
        </w:numPr>
        <w:ind w:leftChars="0"/>
        <w:jc w:val="center"/>
      </w:pPr>
      <w:r>
        <w:rPr>
          <w:rFonts w:hint="eastAsia"/>
          <w:lang w:val="en-US" w:eastAsia="zh-CN"/>
        </w:rPr>
        <w:t xml:space="preserve">第五章  </w:t>
      </w:r>
      <w:r>
        <w:rPr>
          <w:rFonts w:hint="eastAsia"/>
        </w:rPr>
        <w:t>投标文件格式</w:t>
      </w:r>
      <w:bookmarkEnd w:id="438"/>
    </w:p>
    <w:p>
      <w:pPr>
        <w:spacing w:line="400" w:lineRule="exact"/>
        <w:rPr>
          <w:rFonts w:ascii="Times New Roman" w:hAnsi="Times New Roman"/>
        </w:rPr>
      </w:pPr>
    </w:p>
    <w:p>
      <w:pPr>
        <w:spacing w:line="400" w:lineRule="exact"/>
        <w:rPr>
          <w:rFonts w:ascii="Times New Roman" w:hAnsi="Times New Roman"/>
        </w:rPr>
      </w:pPr>
    </w:p>
    <w:p>
      <w:pPr>
        <w:spacing w:line="440" w:lineRule="exact"/>
        <w:rPr>
          <w:rFonts w:ascii="Times New Roman" w:hAnsi="Times New Roman" w:eastAsia="黑体"/>
          <w:sz w:val="20"/>
        </w:rPr>
      </w:pPr>
    </w:p>
    <w:p>
      <w:pPr>
        <w:jc w:val="center"/>
        <w:rPr>
          <w:rFonts w:ascii="Times New Roman" w:hAnsi="Times New Roman" w:eastAsia="黑体"/>
          <w:sz w:val="28"/>
          <w:szCs w:val="28"/>
        </w:rPr>
      </w:pPr>
      <w:r>
        <w:rPr>
          <w:rFonts w:ascii="Times New Roman" w:hAnsi="Times New Roman" w:eastAsia="黑体"/>
          <w:sz w:val="28"/>
          <w:szCs w:val="28"/>
          <w:u w:val="single"/>
        </w:rPr>
        <w:t xml:space="preserve">        </w:t>
      </w:r>
      <w:r>
        <w:rPr>
          <w:rFonts w:ascii="Times New Roman" w:hAnsi="Times New Roman" w:eastAsia="黑体"/>
          <w:sz w:val="28"/>
          <w:szCs w:val="28"/>
        </w:rPr>
        <w:t>（项目名称）设计招标项目</w:t>
      </w:r>
    </w:p>
    <w:p>
      <w:pPr>
        <w:rPr>
          <w:rFonts w:ascii="Times New Roman" w:hAnsi="Times New Roman" w:eastAsia="黑体"/>
          <w:color w:val="000000"/>
          <w:sz w:val="20"/>
        </w:rPr>
      </w:pPr>
    </w:p>
    <w:p>
      <w:pPr>
        <w:rPr>
          <w:rFonts w:ascii="Times New Roman" w:hAnsi="Times New Roman" w:eastAsia="黑体"/>
          <w:color w:val="000000"/>
          <w:sz w:val="20"/>
        </w:rPr>
      </w:pPr>
    </w:p>
    <w:p>
      <w:pPr>
        <w:jc w:val="center"/>
        <w:rPr>
          <w:rFonts w:ascii="Times New Roman" w:hAnsi="Times New Roman" w:eastAsia="黑体"/>
          <w:color w:val="000000"/>
          <w:sz w:val="44"/>
        </w:rPr>
      </w:pPr>
      <w:r>
        <w:rPr>
          <w:rFonts w:ascii="Times New Roman" w:hAnsi="Times New Roman" w:eastAsia="黑体"/>
          <w:color w:val="000000"/>
          <w:sz w:val="44"/>
        </w:rPr>
        <w:t>投 标 文 件</w:t>
      </w:r>
    </w:p>
    <w:p>
      <w:pPr>
        <w:jc w:val="center"/>
        <w:rPr>
          <w:rFonts w:ascii="Times New Roman" w:hAnsi="Times New Roman" w:eastAsia="黑体"/>
          <w:color w:val="000000"/>
          <w:sz w:val="44"/>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spacing w:line="360" w:lineRule="auto"/>
        <w:ind w:firstLine="1120" w:firstLineChars="400"/>
        <w:rPr>
          <w:rFonts w:ascii="Times New Roman" w:hAnsi="Times New Roman" w:eastAsia="黑体"/>
          <w:color w:val="000000"/>
          <w:sz w:val="28"/>
          <w:u w:val="single"/>
        </w:rPr>
      </w:pPr>
      <w:r>
        <w:rPr>
          <w:rFonts w:ascii="Times New Roman" w:hAnsi="Times New Roman" w:eastAsia="黑体"/>
          <w:color w:val="000000"/>
          <w:sz w:val="28"/>
        </w:rPr>
        <w:t>投标人：</w:t>
      </w:r>
      <w:r>
        <w:rPr>
          <w:rFonts w:ascii="Times New Roman" w:hAnsi="Times New Roman"/>
          <w:color w:val="000000"/>
          <w:u w:val="single"/>
        </w:rPr>
        <w:t xml:space="preserve">                                            </w:t>
      </w:r>
      <w:r>
        <w:rPr>
          <w:rFonts w:ascii="Times New Roman" w:hAnsi="Times New Roman" w:eastAsia="黑体"/>
          <w:color w:val="000000"/>
          <w:sz w:val="28"/>
        </w:rPr>
        <w:t>（盖单位章）</w:t>
      </w:r>
    </w:p>
    <w:p>
      <w:pPr>
        <w:spacing w:line="360" w:lineRule="auto"/>
        <w:ind w:firstLine="1120" w:firstLineChars="400"/>
        <w:jc w:val="left"/>
        <w:rPr>
          <w:rFonts w:ascii="Times New Roman" w:hAnsi="Times New Roman" w:eastAsia="黑体"/>
          <w:color w:val="000000"/>
          <w:sz w:val="28"/>
        </w:rPr>
      </w:pPr>
      <w:r>
        <w:rPr>
          <w:rFonts w:ascii="Times New Roman" w:hAnsi="Times New Roman" w:eastAsia="黑体"/>
          <w:color w:val="000000"/>
          <w:sz w:val="28"/>
        </w:rPr>
        <w:t>法定代表人或其委托代理人：</w:t>
      </w:r>
      <w:r>
        <w:rPr>
          <w:rFonts w:ascii="Times New Roman" w:hAnsi="Times New Roman"/>
          <w:color w:val="000000"/>
          <w:u w:val="single"/>
        </w:rPr>
        <w:t xml:space="preserve">       </w:t>
      </w:r>
      <w:r>
        <w:rPr>
          <w:rFonts w:ascii="Times New Roman" w:hAnsi="Times New Roman" w:eastAsia="黑体"/>
          <w:color w:val="000000"/>
          <w:sz w:val="28"/>
        </w:rPr>
        <w:t>（签字）</w:t>
      </w:r>
    </w:p>
    <w:p>
      <w:pPr>
        <w:jc w:val="center"/>
        <w:rPr>
          <w:rFonts w:ascii="Times New Roman" w:hAnsi="Times New Roman" w:eastAsia="黑体"/>
          <w:color w:val="000000"/>
          <w:sz w:val="28"/>
        </w:rPr>
      </w:pPr>
    </w:p>
    <w:p>
      <w:pPr>
        <w:spacing w:line="400" w:lineRule="exact"/>
        <w:jc w:val="center"/>
        <w:rPr>
          <w:rFonts w:ascii="Times New Roman" w:hAnsi="Times New Roman"/>
          <w:color w:val="000000"/>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r>
        <w:rPr>
          <w:rFonts w:ascii="Times New Roman" w:hAnsi="Times New Roman"/>
          <w:color w:val="000000"/>
        </w:rPr>
        <w:br w:type="page"/>
      </w:r>
    </w:p>
    <w:p>
      <w:pPr>
        <w:pStyle w:val="3"/>
        <w:jc w:val="center"/>
        <w:rPr>
          <w:rFonts w:ascii="Times New Roman" w:hAnsi="Times New Roman"/>
          <w:color w:val="000000"/>
        </w:rPr>
      </w:pPr>
      <w:bookmarkStart w:id="448" w:name="_Toc492300525"/>
      <w:r>
        <w:rPr>
          <w:rFonts w:hint="eastAsia" w:ascii="Times New Roman" w:hAnsi="Times New Roman"/>
          <w:color w:val="000000"/>
        </w:rPr>
        <w:t>目录</w:t>
      </w:r>
      <w:bookmarkEnd w:id="448"/>
    </w:p>
    <w:p>
      <w:pPr>
        <w:spacing w:line="540" w:lineRule="exact"/>
        <w:rPr>
          <w:rFonts w:ascii="Times New Roman" w:hAnsi="Times New Roman"/>
          <w:color w:val="000000"/>
        </w:rPr>
      </w:pPr>
    </w:p>
    <w:p>
      <w:pPr>
        <w:spacing w:line="540" w:lineRule="exact"/>
        <w:rPr>
          <w:rFonts w:ascii="Times New Roman" w:hAnsi="Times New Roman"/>
        </w:rPr>
      </w:pPr>
      <w:r>
        <w:rPr>
          <w:rFonts w:ascii="Times New Roman" w:hAnsi="Times New Roman"/>
        </w:rPr>
        <w:t>一、投标函及投标函附录</w:t>
      </w:r>
    </w:p>
    <w:p>
      <w:pPr>
        <w:spacing w:line="540" w:lineRule="exact"/>
        <w:rPr>
          <w:rFonts w:ascii="Times New Roman" w:hAnsi="Times New Roman"/>
        </w:rPr>
      </w:pPr>
      <w:r>
        <w:rPr>
          <w:rFonts w:ascii="Times New Roman" w:hAnsi="Times New Roman"/>
        </w:rPr>
        <w:t>二、法定代表人身份证明（适用于无委托代理人的情况）</w:t>
      </w:r>
    </w:p>
    <w:p>
      <w:pPr>
        <w:spacing w:line="540" w:lineRule="exact"/>
        <w:rPr>
          <w:rFonts w:ascii="Times New Roman" w:hAnsi="Times New Roman"/>
        </w:rPr>
      </w:pPr>
      <w:r>
        <w:rPr>
          <w:rFonts w:ascii="Times New Roman" w:hAnsi="Times New Roman"/>
        </w:rPr>
        <w:t>二、授权委托书（适用于有委托代理人的情况）</w:t>
      </w:r>
    </w:p>
    <w:p>
      <w:pPr>
        <w:spacing w:line="540" w:lineRule="exact"/>
        <w:rPr>
          <w:rFonts w:ascii="Times New Roman" w:hAnsi="Times New Roman"/>
        </w:rPr>
      </w:pPr>
      <w:r>
        <w:rPr>
          <w:rFonts w:ascii="Times New Roman" w:hAnsi="Times New Roman"/>
        </w:rPr>
        <w:t>三、联合体协议书</w:t>
      </w:r>
    </w:p>
    <w:p>
      <w:pPr>
        <w:spacing w:line="540" w:lineRule="exact"/>
        <w:rPr>
          <w:rFonts w:ascii="Times New Roman" w:hAnsi="Times New Roman"/>
        </w:rPr>
      </w:pPr>
      <w:r>
        <w:rPr>
          <w:rFonts w:ascii="Times New Roman" w:hAnsi="Times New Roman"/>
        </w:rPr>
        <w:t>四、投标保证金</w:t>
      </w:r>
    </w:p>
    <w:p>
      <w:pPr>
        <w:spacing w:line="540" w:lineRule="exact"/>
        <w:rPr>
          <w:rFonts w:ascii="Times New Roman" w:hAnsi="Times New Roman"/>
        </w:rPr>
      </w:pPr>
      <w:r>
        <w:rPr>
          <w:rFonts w:ascii="Times New Roman" w:hAnsi="Times New Roman"/>
        </w:rPr>
        <w:t>五、设计费用清单</w:t>
      </w:r>
    </w:p>
    <w:p>
      <w:pPr>
        <w:spacing w:line="540" w:lineRule="exact"/>
        <w:rPr>
          <w:rFonts w:ascii="Times New Roman" w:hAnsi="Times New Roman"/>
        </w:rPr>
      </w:pPr>
      <w:r>
        <w:rPr>
          <w:rFonts w:ascii="Times New Roman" w:hAnsi="Times New Roman"/>
        </w:rPr>
        <w:t>六、资格审查资料</w:t>
      </w:r>
    </w:p>
    <w:p>
      <w:pPr>
        <w:spacing w:line="540" w:lineRule="exact"/>
        <w:rPr>
          <w:rFonts w:ascii="Times New Roman" w:hAnsi="Times New Roman"/>
        </w:rPr>
      </w:pPr>
      <w:r>
        <w:rPr>
          <w:rFonts w:hint="eastAsia" w:ascii="Times New Roman" w:hAnsi="Times New Roman"/>
        </w:rPr>
        <w:t>七、设计方案</w:t>
      </w:r>
    </w:p>
    <w:p>
      <w:pPr>
        <w:spacing w:line="540" w:lineRule="exact"/>
        <w:rPr>
          <w:rFonts w:ascii="Times New Roman" w:hAnsi="Times New Roman"/>
        </w:rPr>
      </w:pPr>
      <w:bookmarkStart w:id="449" w:name="_Toc369531691"/>
      <w:bookmarkStart w:id="450" w:name="_Toc7039"/>
      <w:bookmarkStart w:id="451" w:name="_Toc352691655"/>
      <w:r>
        <w:rPr>
          <w:rFonts w:hint="eastAsia" w:ascii="Times New Roman" w:hAnsi="Times New Roman"/>
        </w:rPr>
        <w:t>八</w:t>
      </w:r>
      <w:r>
        <w:rPr>
          <w:rFonts w:ascii="Times New Roman" w:hAnsi="Times New Roman"/>
        </w:rPr>
        <w:t>、其他资料</w:t>
      </w:r>
    </w:p>
    <w:p>
      <w:pPr>
        <w:spacing w:line="540" w:lineRule="exact"/>
        <w:rPr>
          <w:rFonts w:ascii="Times New Roman" w:hAnsi="Times New Roman" w:eastAsia="黑体"/>
          <w:sz w:val="20"/>
        </w:rPr>
      </w:pPr>
      <w:r>
        <w:rPr>
          <w:rFonts w:ascii="Times New Roman" w:hAnsi="Times New Roman"/>
        </w:rPr>
        <w:br w:type="page"/>
      </w:r>
    </w:p>
    <w:bookmarkEnd w:id="449"/>
    <w:bookmarkEnd w:id="450"/>
    <w:bookmarkEnd w:id="451"/>
    <w:p>
      <w:pPr>
        <w:pStyle w:val="3"/>
        <w:jc w:val="center"/>
        <w:rPr>
          <w:rFonts w:ascii="Times New Roman" w:hAnsi="Times New Roman"/>
        </w:rPr>
      </w:pPr>
      <w:bookmarkStart w:id="452" w:name="_Toc492300526"/>
      <w:r>
        <w:rPr>
          <w:rFonts w:ascii="Times New Roman" w:hAnsi="Times New Roman"/>
        </w:rPr>
        <w:t>一、投标</w:t>
      </w:r>
      <w:bookmarkStart w:id="453" w:name="_Toc369531692"/>
      <w:bookmarkStart w:id="454" w:name="_Toc352691656"/>
      <w:bookmarkStart w:id="455" w:name="_Toc6931"/>
      <w:r>
        <w:rPr>
          <w:rFonts w:ascii="Times New Roman" w:hAnsi="Times New Roman"/>
        </w:rPr>
        <w:t>函及投标函附录</w:t>
      </w:r>
      <w:bookmarkEnd w:id="452"/>
    </w:p>
    <w:bookmarkEnd w:id="453"/>
    <w:bookmarkEnd w:id="454"/>
    <w:bookmarkEnd w:id="455"/>
    <w:p>
      <w:pPr>
        <w:pStyle w:val="4"/>
        <w:ind w:firstLine="137"/>
        <w:rPr>
          <w:rFonts w:ascii="Times New Roman" w:hAnsi="Times New Roman"/>
        </w:rPr>
      </w:pPr>
      <w:bookmarkStart w:id="456" w:name="_Toc370676426"/>
      <w:bookmarkStart w:id="457" w:name="_Toc482188651"/>
      <w:bookmarkStart w:id="458" w:name="_Toc492300527"/>
      <w:bookmarkStart w:id="459" w:name="_Toc385943065"/>
      <w:bookmarkStart w:id="460" w:name="_Toc391394111"/>
      <w:bookmarkStart w:id="461" w:name="_Toc359594235"/>
      <w:r>
        <w:rPr>
          <w:rFonts w:hint="eastAsia" w:ascii="Times New Roman" w:hAnsi="Times New Roman"/>
        </w:rPr>
        <w:t>（一）投标函</w:t>
      </w:r>
      <w:bookmarkEnd w:id="456"/>
      <w:bookmarkEnd w:id="457"/>
      <w:bookmarkEnd w:id="458"/>
      <w:bookmarkEnd w:id="459"/>
      <w:bookmarkEnd w:id="460"/>
      <w:bookmarkEnd w:id="461"/>
    </w:p>
    <w:p>
      <w:pPr>
        <w:spacing w:line="440" w:lineRule="exac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（招标人名称）：</w:t>
      </w:r>
    </w:p>
    <w:p>
      <w:pPr>
        <w:spacing w:line="440" w:lineRule="exact"/>
        <w:ind w:firstLine="405"/>
        <w:rPr>
          <w:rFonts w:ascii="Times New Roman" w:hAnsi="Times New Roman"/>
          <w:szCs w:val="21"/>
        </w:rPr>
      </w:pPr>
      <w:r>
        <w:rPr>
          <w:rFonts w:ascii="Times New Roman" w:hAnsi="Times New Roman"/>
          <w:szCs w:val="21"/>
        </w:rPr>
        <w:t>1．我方已仔细研究了</w:t>
      </w:r>
      <w:r>
        <w:rPr>
          <w:rFonts w:ascii="Times New Roman" w:hAnsi="Times New Roman"/>
          <w:szCs w:val="21"/>
          <w:u w:val="single"/>
        </w:rPr>
        <w:t xml:space="preserve">                  </w:t>
      </w:r>
      <w:r>
        <w:rPr>
          <w:rFonts w:ascii="Times New Roman" w:hAnsi="Times New Roman"/>
          <w:color w:val="000000"/>
          <w:szCs w:val="21"/>
        </w:rPr>
        <w:t>（项目名称）设计招标项目</w:t>
      </w:r>
      <w:r>
        <w:rPr>
          <w:rFonts w:ascii="Times New Roman" w:hAnsi="Times New Roman"/>
          <w:szCs w:val="21"/>
        </w:rPr>
        <w:t>招标文件的全部内容，愿意以人民币（大写）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）的投标总报价（其中，增值税税率为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ascii="Times New Roman" w:hAnsi="Times New Roman"/>
          <w:szCs w:val="21"/>
        </w:rPr>
        <w:t>设计服务期限：</w:t>
      </w:r>
      <w:r>
        <w:rPr>
          <w:rFonts w:ascii="Times New Roman" w:hAnsi="Times New Roman"/>
          <w:szCs w:val="21"/>
          <w:u w:val="single"/>
        </w:rPr>
        <w:t xml:space="preserve">      </w:t>
      </w:r>
      <w:r>
        <w:rPr>
          <w:rFonts w:ascii="Times New Roman" w:hAnsi="Times New Roman"/>
          <w:szCs w:val="21"/>
        </w:rPr>
        <w:t>日历天，按合同约定完成设计工作。</w:t>
      </w:r>
    </w:p>
    <w:p>
      <w:pPr>
        <w:spacing w:line="440" w:lineRule="exact"/>
        <w:ind w:firstLine="420" w:firstLineChars="200"/>
        <w:rPr>
          <w:rFonts w:ascii="Times New Roman" w:hAnsi="Times New Roman"/>
          <w:szCs w:val="21"/>
        </w:rPr>
      </w:pPr>
      <w:r>
        <w:rPr>
          <w:rFonts w:ascii="Times New Roman" w:hAnsi="Times New Roman"/>
          <w:szCs w:val="21"/>
        </w:rPr>
        <w:t>2. 我方的投标文件包括下列内容：</w:t>
      </w:r>
    </w:p>
    <w:p>
      <w:pPr>
        <w:spacing w:line="400" w:lineRule="exact"/>
        <w:ind w:firstLine="405"/>
        <w:rPr>
          <w:rFonts w:ascii="Times New Roman" w:hAnsi="Times New Roman"/>
          <w:color w:val="000000"/>
          <w:szCs w:val="21"/>
        </w:rPr>
      </w:pPr>
      <w:r>
        <w:rPr>
          <w:rFonts w:ascii="Times New Roman" w:hAnsi="Times New Roman"/>
          <w:color w:val="000000"/>
          <w:szCs w:val="21"/>
        </w:rPr>
        <w:t>（1）投标函</w:t>
      </w:r>
      <w:r>
        <w:rPr>
          <w:rFonts w:ascii="Times New Roman" w:hAnsi="Times New Roman"/>
        </w:rPr>
        <w:t>及投标函附录</w:t>
      </w:r>
      <w:r>
        <w:rPr>
          <w:rFonts w:ascii="Times New Roman" w:hAnsi="Times New Roman"/>
          <w:color w:val="000000"/>
          <w:szCs w:val="21"/>
        </w:rPr>
        <w:t>；</w:t>
      </w:r>
    </w:p>
    <w:p>
      <w:pPr>
        <w:spacing w:line="400" w:lineRule="exact"/>
        <w:ind w:firstLine="405"/>
        <w:rPr>
          <w:rFonts w:ascii="Times New Roman" w:hAnsi="Times New Roman"/>
          <w:color w:val="000000"/>
          <w:szCs w:val="21"/>
        </w:rPr>
      </w:pPr>
      <w:r>
        <w:rPr>
          <w:rFonts w:ascii="Times New Roman" w:hAnsi="Times New Roman"/>
          <w:color w:val="000000"/>
          <w:szCs w:val="21"/>
        </w:rPr>
        <w:t>（2）法定代表人身份证明或授权委托书；</w:t>
      </w:r>
    </w:p>
    <w:p>
      <w:pPr>
        <w:spacing w:line="400" w:lineRule="exact"/>
        <w:ind w:firstLine="405"/>
        <w:rPr>
          <w:rFonts w:ascii="Times New Roman" w:hAnsi="Times New Roman"/>
          <w:color w:val="000000"/>
          <w:szCs w:val="21"/>
        </w:rPr>
      </w:pPr>
      <w:r>
        <w:rPr>
          <w:rFonts w:ascii="Times New Roman" w:hAnsi="Times New Roman"/>
          <w:color w:val="000000"/>
          <w:szCs w:val="21"/>
        </w:rPr>
        <w:t>（3）联合体协议书（如有）；</w:t>
      </w:r>
    </w:p>
    <w:p>
      <w:pPr>
        <w:spacing w:line="400" w:lineRule="exact"/>
        <w:ind w:firstLine="405"/>
        <w:rPr>
          <w:rFonts w:ascii="Times New Roman" w:hAnsi="Times New Roman"/>
          <w:color w:val="000000"/>
          <w:szCs w:val="21"/>
        </w:rPr>
      </w:pPr>
      <w:r>
        <w:rPr>
          <w:rFonts w:ascii="Times New Roman" w:hAnsi="Times New Roman"/>
          <w:color w:val="000000"/>
          <w:szCs w:val="21"/>
        </w:rPr>
        <w:t>（4）投标保证金（如有）；</w:t>
      </w:r>
    </w:p>
    <w:p>
      <w:pPr>
        <w:spacing w:line="400" w:lineRule="exact"/>
        <w:ind w:firstLine="405"/>
        <w:rPr>
          <w:rFonts w:ascii="Times New Roman" w:hAnsi="Times New Roman"/>
          <w:color w:val="000000"/>
          <w:szCs w:val="21"/>
        </w:rPr>
      </w:pPr>
      <w:r>
        <w:rPr>
          <w:rFonts w:ascii="Times New Roman" w:hAnsi="Times New Roman"/>
          <w:color w:val="000000"/>
          <w:szCs w:val="21"/>
        </w:rPr>
        <w:t>（5）设计费用清单；</w:t>
      </w:r>
    </w:p>
    <w:p>
      <w:pPr>
        <w:spacing w:line="400" w:lineRule="exact"/>
        <w:ind w:firstLine="405"/>
        <w:rPr>
          <w:rFonts w:ascii="Times New Roman" w:hAnsi="Times New Roman"/>
          <w:color w:val="000000"/>
          <w:szCs w:val="21"/>
        </w:rPr>
      </w:pPr>
      <w:r>
        <w:rPr>
          <w:rFonts w:ascii="Times New Roman" w:hAnsi="Times New Roman"/>
          <w:color w:val="000000"/>
          <w:szCs w:val="21"/>
        </w:rPr>
        <w:t>（6）资格审查资料；</w:t>
      </w:r>
    </w:p>
    <w:p>
      <w:pPr>
        <w:spacing w:line="400" w:lineRule="exact"/>
        <w:ind w:firstLine="405"/>
        <w:rPr>
          <w:rFonts w:ascii="Times New Roman" w:hAnsi="Times New Roman"/>
          <w:color w:val="000000"/>
          <w:szCs w:val="21"/>
        </w:rPr>
      </w:pPr>
      <w:r>
        <w:rPr>
          <w:rFonts w:hint="eastAsia" w:ascii="Times New Roman" w:hAnsi="Times New Roman"/>
          <w:color w:val="000000"/>
          <w:szCs w:val="21"/>
        </w:rPr>
        <w:t>（7）设计方案；</w:t>
      </w:r>
    </w:p>
    <w:p>
      <w:pPr>
        <w:spacing w:line="400" w:lineRule="exact"/>
        <w:ind w:firstLine="405"/>
        <w:rPr>
          <w:rFonts w:ascii="Times New Roman" w:hAnsi="Times New Roman"/>
          <w:color w:val="000000"/>
          <w:szCs w:val="21"/>
        </w:rPr>
      </w:pPr>
      <w:r>
        <w:rPr>
          <w:rFonts w:ascii="Times New Roman" w:hAnsi="Times New Roman"/>
          <w:color w:val="000000"/>
          <w:szCs w:val="21"/>
        </w:rPr>
        <w:t>……</w:t>
      </w:r>
    </w:p>
    <w:p>
      <w:pPr>
        <w:spacing w:line="440" w:lineRule="exact"/>
        <w:ind w:firstLine="420" w:firstLineChars="200"/>
        <w:rPr>
          <w:rFonts w:ascii="Times New Roman" w:hAnsi="Times New Roman"/>
          <w:szCs w:val="21"/>
        </w:rPr>
      </w:pPr>
      <w:r>
        <w:rPr>
          <w:rFonts w:ascii="Times New Roman" w:hAnsi="Times New Roman"/>
          <w:szCs w:val="21"/>
        </w:rPr>
        <w:t>投标文件的上述组成部分如存在内容不一致的，以投标函为准。</w:t>
      </w:r>
    </w:p>
    <w:p>
      <w:pPr>
        <w:spacing w:line="440" w:lineRule="exact"/>
        <w:ind w:firstLine="420" w:firstLineChars="200"/>
        <w:rPr>
          <w:rFonts w:ascii="Times New Roman" w:hAnsi="Times New Roman"/>
          <w:szCs w:val="21"/>
        </w:rPr>
      </w:pPr>
      <w:r>
        <w:rPr>
          <w:rFonts w:ascii="Times New Roman" w:hAnsi="Times New Roman"/>
          <w:szCs w:val="21"/>
        </w:rPr>
        <w:t>3．我方承诺在招标文件规定的投标有效期内不撤销投标文件。</w:t>
      </w:r>
    </w:p>
    <w:p>
      <w:pPr>
        <w:spacing w:line="440" w:lineRule="exact"/>
        <w:ind w:firstLine="420" w:firstLineChars="200"/>
        <w:rPr>
          <w:rFonts w:ascii="Times New Roman" w:hAnsi="Times New Roman"/>
          <w:szCs w:val="21"/>
        </w:rPr>
      </w:pPr>
      <w:r>
        <w:rPr>
          <w:rFonts w:ascii="Times New Roman" w:hAnsi="Times New Roman"/>
          <w:szCs w:val="21"/>
        </w:rPr>
        <w:t>4．如我方中标，我方承诺：</w:t>
      </w:r>
    </w:p>
    <w:p>
      <w:pPr>
        <w:spacing w:line="440" w:lineRule="exact"/>
        <w:ind w:left="945" w:leftChars="400" w:hanging="105" w:hangingChars="50"/>
        <w:rPr>
          <w:rFonts w:ascii="Times New Roman" w:hAnsi="Times New Roman"/>
          <w:szCs w:val="21"/>
        </w:rPr>
      </w:pPr>
      <w:r>
        <w:rPr>
          <w:rFonts w:ascii="Times New Roman" w:hAnsi="Times New Roman"/>
          <w:szCs w:val="21"/>
        </w:rPr>
        <w:t>（1）在收到中标通知书后，在中标通知书规定的期限内与你方签订合同；</w:t>
      </w:r>
    </w:p>
    <w:p>
      <w:pPr>
        <w:spacing w:line="440" w:lineRule="exact"/>
        <w:ind w:left="945" w:leftChars="400" w:hanging="105" w:hangingChars="50"/>
        <w:rPr>
          <w:rFonts w:ascii="Times New Roman" w:hAnsi="Times New Roman"/>
          <w:szCs w:val="21"/>
        </w:rPr>
      </w:pPr>
      <w:r>
        <w:rPr>
          <w:rFonts w:ascii="Times New Roman" w:hAnsi="Times New Roman"/>
          <w:szCs w:val="21"/>
        </w:rPr>
        <w:t>（2）在签订合同时不向你方提出附加条件；</w:t>
      </w:r>
    </w:p>
    <w:p>
      <w:pPr>
        <w:spacing w:line="440" w:lineRule="exact"/>
        <w:ind w:left="945" w:leftChars="400" w:hanging="105" w:hangingChars="50"/>
        <w:rPr>
          <w:rFonts w:ascii="Times New Roman" w:hAnsi="Times New Roman"/>
          <w:szCs w:val="21"/>
        </w:rPr>
      </w:pPr>
      <w:r>
        <w:rPr>
          <w:rFonts w:ascii="Times New Roman" w:hAnsi="Times New Roman"/>
          <w:szCs w:val="21"/>
        </w:rPr>
        <w:t>（3）按照招标文件要求提交履约保证金；</w:t>
      </w:r>
      <w:bookmarkStart w:id="462" w:name="_Toc1187"/>
      <w:bookmarkStart w:id="463" w:name="_Toc369531694"/>
      <w:bookmarkStart w:id="464" w:name="_Toc352691658"/>
    </w:p>
    <w:p>
      <w:pPr>
        <w:spacing w:line="440" w:lineRule="exact"/>
        <w:ind w:left="945" w:leftChars="400" w:hanging="105" w:hangingChars="50"/>
        <w:rPr>
          <w:rFonts w:ascii="Times New Roman" w:hAnsi="Times New Roman"/>
          <w:szCs w:val="21"/>
        </w:rPr>
      </w:pPr>
      <w:r>
        <w:rPr>
          <w:rFonts w:ascii="Times New Roman" w:hAnsi="Times New Roman"/>
          <w:szCs w:val="21"/>
        </w:rPr>
        <w:t>（4）在合</w:t>
      </w:r>
      <w:bookmarkEnd w:id="462"/>
      <w:bookmarkEnd w:id="463"/>
      <w:bookmarkEnd w:id="464"/>
      <w:r>
        <w:rPr>
          <w:rFonts w:ascii="Times New Roman" w:hAnsi="Times New Roman"/>
          <w:szCs w:val="21"/>
        </w:rPr>
        <w:t>同约定的期限内完成合同规定的全部义务。</w:t>
      </w:r>
    </w:p>
    <w:p>
      <w:pPr>
        <w:spacing w:line="440" w:lineRule="exact"/>
        <w:ind w:firstLine="420" w:firstLineChars="200"/>
        <w:rPr>
          <w:rFonts w:ascii="Times New Roman" w:hAnsi="Times New Roman"/>
          <w:szCs w:val="21"/>
        </w:rPr>
      </w:pPr>
      <w:r>
        <w:rPr>
          <w:rFonts w:ascii="Times New Roman" w:hAnsi="Times New Roman"/>
          <w:szCs w:val="21"/>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rPr>
      </w:pPr>
      <w:r>
        <w:rPr>
          <w:rFonts w:ascii="Times New Roman" w:hAnsi="Times New Roman"/>
          <w:szCs w:val="21"/>
        </w:rPr>
        <w:t>6．</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（其他补充说明）。</w:t>
      </w:r>
    </w:p>
    <w:p>
      <w:pPr>
        <w:spacing w:line="440" w:lineRule="exact"/>
        <w:ind w:firstLine="420" w:firstLineChars="200"/>
        <w:rPr>
          <w:rFonts w:ascii="Times New Roman" w:hAnsi="Times New Roman"/>
          <w:szCs w:val="21"/>
        </w:rPr>
      </w:pPr>
    </w:p>
    <w:bookmarkEnd w:id="439"/>
    <w:bookmarkEnd w:id="440"/>
    <w:bookmarkEnd w:id="441"/>
    <w:bookmarkEnd w:id="442"/>
    <w:bookmarkEnd w:id="443"/>
    <w:bookmarkEnd w:id="444"/>
    <w:bookmarkEnd w:id="445"/>
    <w:bookmarkEnd w:id="446"/>
    <w:bookmarkEnd w:id="447"/>
    <w:p>
      <w:pPr>
        <w:spacing w:line="440" w:lineRule="exact"/>
        <w:ind w:firstLine="2520" w:firstLineChars="1200"/>
        <w:jc w:val="left"/>
        <w:rPr>
          <w:rFonts w:ascii="Times New Roman" w:hAnsi="Times New Roman"/>
          <w:szCs w:val="21"/>
        </w:rPr>
      </w:pPr>
      <w:bookmarkStart w:id="465" w:name="_Toc352691660"/>
      <w:bookmarkEnd w:id="465"/>
      <w:bookmarkStart w:id="466" w:name="_Toc369531695"/>
      <w:bookmarkEnd w:id="466"/>
      <w:bookmarkStart w:id="467" w:name="_Toc369531696"/>
      <w:bookmarkEnd w:id="467"/>
      <w:bookmarkStart w:id="468" w:name="_Toc16568"/>
      <w:bookmarkEnd w:id="468"/>
      <w:bookmarkStart w:id="469" w:name="_Toc352691659"/>
      <w:bookmarkEnd w:id="469"/>
      <w:bookmarkStart w:id="470" w:name="_Toc16824"/>
      <w:bookmarkEnd w:id="470"/>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2520" w:firstLineChars="1200"/>
        <w:jc w:val="lef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520" w:firstLineChars="1200"/>
        <w:jc w:val="left"/>
        <w:rPr>
          <w:rFonts w:ascii="Times New Roman" w:hAnsi="Times New Roman"/>
          <w:szCs w:val="21"/>
        </w:rPr>
      </w:pPr>
      <w:r>
        <w:rPr>
          <w:rFonts w:ascii="Times New Roman" w:hAnsi="Times New Roman"/>
          <w:szCs w:val="21"/>
        </w:rPr>
        <w:t>网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电    话：</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传    真：</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邮政编码：</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eastAsia="黑体"/>
          <w:color w:val="000000"/>
          <w:sz w:val="20"/>
        </w:rPr>
      </w:pPr>
      <w:bookmarkStart w:id="471" w:name="_Toc152045787"/>
      <w:bookmarkStart w:id="472" w:name="_Toc369531697"/>
      <w:bookmarkStart w:id="473" w:name="_Toc352691661"/>
      <w:bookmarkStart w:id="474" w:name="_Toc17960"/>
      <w:bookmarkStart w:id="475" w:name="_Toc361508752"/>
      <w:bookmarkStart w:id="476" w:name="_Toc247514246"/>
      <w:bookmarkStart w:id="477" w:name="_Toc300835209"/>
      <w:bookmarkStart w:id="478" w:name="_Toc384308375"/>
      <w:bookmarkStart w:id="479" w:name="_Toc144974856"/>
      <w:bookmarkStart w:id="480" w:name="_Toc247527827"/>
      <w:bookmarkStart w:id="481" w:name="_Toc152042576"/>
    </w:p>
    <w:p>
      <w:pPr>
        <w:spacing w:line="440" w:lineRule="exact"/>
        <w:rPr>
          <w:rFonts w:ascii="Times New Roman" w:hAnsi="Times New Roman"/>
        </w:rPr>
      </w:pPr>
      <w:bookmarkStart w:id="482" w:name="_Toc492300528"/>
      <w:bookmarkStart w:id="483" w:name="_Toc391394112"/>
      <w:bookmarkStart w:id="484" w:name="_Toc385943066"/>
      <w:bookmarkStart w:id="485" w:name="_Toc482188652"/>
      <w:bookmarkStart w:id="486" w:name="_Toc359594236"/>
      <w:bookmarkStart w:id="487" w:name="_Toc370676427"/>
      <w:r>
        <w:rPr>
          <w:rFonts w:hint="eastAsia" w:ascii="Times New Roman" w:hAnsi="Times New Roman"/>
        </w:rPr>
        <w:t>（二）投标函附录</w:t>
      </w:r>
      <w:bookmarkEnd w:id="482"/>
      <w:bookmarkEnd w:id="483"/>
      <w:bookmarkEnd w:id="484"/>
      <w:bookmarkEnd w:id="485"/>
      <w:bookmarkEnd w:id="486"/>
      <w:bookmarkEnd w:id="487"/>
    </w:p>
    <w:tbl>
      <w:tblPr>
        <w:tblStyle w:val="43"/>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1513"/>
        <w:gridCol w:w="2268"/>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jc w:val="center"/>
              <w:rPr>
                <w:rFonts w:ascii="Times New Roman" w:hAnsi="Times New Roman"/>
                <w:b/>
              </w:rPr>
            </w:pPr>
            <w:r>
              <w:rPr>
                <w:rFonts w:hint="eastAsia" w:ascii="Times New Roman" w:hAnsi="Times New Roman"/>
                <w:b/>
              </w:rPr>
              <w:t>序号</w:t>
            </w:r>
          </w:p>
        </w:tc>
        <w:tc>
          <w:tcPr>
            <w:tcW w:w="2161" w:type="dxa"/>
            <w:vAlign w:val="center"/>
          </w:tcPr>
          <w:p>
            <w:pPr>
              <w:jc w:val="center"/>
              <w:rPr>
                <w:rFonts w:ascii="Times New Roman" w:hAnsi="Times New Roman"/>
                <w:b/>
              </w:rPr>
            </w:pPr>
            <w:r>
              <w:rPr>
                <w:rFonts w:hint="eastAsia" w:ascii="Times New Roman" w:hAnsi="Times New Roman"/>
                <w:b/>
              </w:rPr>
              <w:t>条款名称</w:t>
            </w:r>
          </w:p>
        </w:tc>
        <w:tc>
          <w:tcPr>
            <w:tcW w:w="1513" w:type="dxa"/>
            <w:vAlign w:val="center"/>
          </w:tcPr>
          <w:p>
            <w:pPr>
              <w:jc w:val="center"/>
              <w:rPr>
                <w:rFonts w:ascii="Times New Roman" w:hAnsi="Times New Roman"/>
                <w:b/>
              </w:rPr>
            </w:pPr>
            <w:r>
              <w:rPr>
                <w:rFonts w:hint="eastAsia" w:ascii="Times New Roman" w:hAnsi="Times New Roman"/>
                <w:b/>
              </w:rPr>
              <w:t>合同条款号</w:t>
            </w:r>
          </w:p>
        </w:tc>
        <w:tc>
          <w:tcPr>
            <w:tcW w:w="2268" w:type="dxa"/>
            <w:vAlign w:val="center"/>
          </w:tcPr>
          <w:p>
            <w:pPr>
              <w:jc w:val="center"/>
              <w:rPr>
                <w:rFonts w:ascii="Times New Roman" w:hAnsi="Times New Roman"/>
                <w:b/>
              </w:rPr>
            </w:pPr>
            <w:r>
              <w:rPr>
                <w:rFonts w:hint="eastAsia" w:ascii="Times New Roman" w:hAnsi="Times New Roman"/>
                <w:b/>
              </w:rPr>
              <w:t>约定内容</w:t>
            </w:r>
          </w:p>
        </w:tc>
        <w:tc>
          <w:tcPr>
            <w:tcW w:w="1475" w:type="dxa"/>
            <w:vAlign w:val="center"/>
          </w:tcPr>
          <w:p>
            <w:pPr>
              <w:jc w:val="center"/>
              <w:rPr>
                <w:rFonts w:ascii="Times New Roman" w:hAnsi="Times New Roman"/>
                <w:b/>
              </w:rPr>
            </w:pPr>
            <w:r>
              <w:rPr>
                <w:rFonts w:hint="eastAsia" w:ascii="Times New Roman" w:hAnsi="Times New Roman"/>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spacing w:before="100" w:beforeAutospacing="1" w:after="100" w:afterAutospacing="1"/>
              <w:jc w:val="center"/>
              <w:rPr>
                <w:rFonts w:ascii="Times New Roman" w:hAnsi="Times New Roman"/>
              </w:rPr>
            </w:pPr>
            <w:r>
              <w:rPr>
                <w:rFonts w:hint="eastAsia" w:ascii="Times New Roman" w:hAnsi="Times New Roman"/>
              </w:rPr>
              <w:t>1</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hint="eastAsia" w:ascii="Times New Roman" w:hAnsi="Times New Roman"/>
                <w:szCs w:val="21"/>
              </w:rPr>
              <w:t>项目负责人</w:t>
            </w:r>
          </w:p>
        </w:tc>
        <w:tc>
          <w:tcPr>
            <w:tcW w:w="1513" w:type="dxa"/>
            <w:vAlign w:val="center"/>
          </w:tcPr>
          <w:p>
            <w:pPr>
              <w:spacing w:line="440" w:lineRule="exact"/>
              <w:jc w:val="center"/>
              <w:rPr>
                <w:rFonts w:ascii="Times New Roman" w:hAnsi="Times New Roman"/>
              </w:rPr>
            </w:pPr>
            <w:r>
              <w:rPr>
                <w:rFonts w:ascii="Times New Roman" w:hAnsi="Times New Roman"/>
              </w:rPr>
              <w:t>1.1.2.5</w:t>
            </w:r>
          </w:p>
        </w:tc>
        <w:tc>
          <w:tcPr>
            <w:tcW w:w="2268" w:type="dxa"/>
            <w:vAlign w:val="center"/>
          </w:tcPr>
          <w:p>
            <w:pPr>
              <w:pStyle w:val="17"/>
              <w:topLinePunct/>
              <w:spacing w:line="400" w:lineRule="exact"/>
              <w:rPr>
                <w:rFonts w:ascii="Times New Roman" w:hAnsi="Times New Roman"/>
                <w:sz w:val="21"/>
                <w:szCs w:val="21"/>
              </w:rPr>
            </w:pPr>
            <w:r>
              <w:rPr>
                <w:rFonts w:hint="eastAsia" w:ascii="Times New Roman" w:hAnsi="Times New Roman"/>
                <w:sz w:val="21"/>
                <w:szCs w:val="21"/>
              </w:rPr>
              <w:t>姓名：</w:t>
            </w:r>
            <w:r>
              <w:rPr>
                <w:rFonts w:ascii="Times New Roman" w:hAnsi="Times New Roman"/>
                <w:sz w:val="21"/>
                <w:szCs w:val="21"/>
              </w:rPr>
              <w:t xml:space="preserve"> </w:t>
            </w:r>
          </w:p>
        </w:tc>
        <w:tc>
          <w:tcPr>
            <w:tcW w:w="1475" w:type="dxa"/>
            <w:vAlign w:val="center"/>
          </w:tcPr>
          <w:p>
            <w:pPr>
              <w:spacing w:line="440" w:lineRule="exact"/>
              <w:ind w:firstLine="718" w:firstLineChars="342"/>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ascii="Times New Roman" w:hAnsi="Times New Roman"/>
              </w:rPr>
            </w:pPr>
            <w:r>
              <w:rPr>
                <w:rFonts w:hint="eastAsia" w:ascii="Times New Roman" w:hAnsi="Times New Roman"/>
              </w:rPr>
              <w:t>2</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hint="eastAsia" w:ascii="Times New Roman" w:hAnsi="Times New Roman"/>
                <w:szCs w:val="21"/>
              </w:rPr>
              <w:t>设计服务期限</w:t>
            </w:r>
          </w:p>
        </w:tc>
        <w:tc>
          <w:tcPr>
            <w:tcW w:w="1513" w:type="dxa"/>
            <w:vAlign w:val="center"/>
          </w:tcPr>
          <w:p>
            <w:pPr>
              <w:spacing w:line="440" w:lineRule="exact"/>
              <w:jc w:val="center"/>
              <w:rPr>
                <w:rFonts w:ascii="Times New Roman" w:hAnsi="Times New Roman"/>
              </w:rPr>
            </w:pPr>
            <w:r>
              <w:rPr>
                <w:rFonts w:ascii="Times New Roman" w:hAnsi="Times New Roman"/>
              </w:rPr>
              <w:t>1.1.4.3</w:t>
            </w:r>
          </w:p>
        </w:tc>
        <w:tc>
          <w:tcPr>
            <w:tcW w:w="2268" w:type="dxa"/>
            <w:vAlign w:val="center"/>
          </w:tcPr>
          <w:p>
            <w:pPr>
              <w:pStyle w:val="17"/>
              <w:topLinePunct/>
              <w:spacing w:line="400" w:lineRule="exact"/>
              <w:rPr>
                <w:rFonts w:ascii="Times New Roman" w:hAnsi="Times New Roman"/>
                <w:sz w:val="21"/>
                <w:szCs w:val="21"/>
              </w:rPr>
            </w:pPr>
            <w:r>
              <w:rPr>
                <w:rFonts w:ascii="Times New Roman" w:hAnsi="Times New Roman"/>
                <w:sz w:val="21"/>
                <w:szCs w:val="21"/>
                <w:u w:val="single"/>
              </w:rPr>
              <w:t xml:space="preserve">      </w:t>
            </w:r>
            <w:r>
              <w:rPr>
                <w:rFonts w:ascii="Times New Roman" w:hAnsi="Times New Roman"/>
                <w:sz w:val="21"/>
                <w:szCs w:val="21"/>
              </w:rPr>
              <w:t>日历天</w:t>
            </w:r>
          </w:p>
        </w:tc>
        <w:tc>
          <w:tcPr>
            <w:tcW w:w="1475" w:type="dxa"/>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tabs>
                <w:tab w:val="left" w:pos="360"/>
              </w:tabs>
              <w:jc w:val="center"/>
              <w:rPr>
                <w:rFonts w:ascii="Times New Roman" w:hAnsi="Times New Roman"/>
                <w:color w:val="000000"/>
              </w:rPr>
            </w:pPr>
            <w:r>
              <w:rPr>
                <w:rFonts w:ascii="Times New Roman" w:hAnsi="Times New Roman"/>
                <w:color w:val="000000"/>
              </w:rPr>
              <w:t>3</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ascii="Times New Roman" w:hAnsi="Times New Roman"/>
                <w:szCs w:val="21"/>
              </w:rPr>
              <w:t>合同价款确定</w:t>
            </w:r>
            <w:r>
              <w:rPr>
                <w:rFonts w:hint="eastAsia" w:ascii="Times New Roman" w:hAnsi="Times New Roman"/>
                <w:szCs w:val="21"/>
              </w:rPr>
              <w:t>方式</w:t>
            </w:r>
          </w:p>
        </w:tc>
        <w:tc>
          <w:tcPr>
            <w:tcW w:w="1513" w:type="dxa"/>
            <w:vAlign w:val="center"/>
          </w:tcPr>
          <w:p>
            <w:pPr>
              <w:spacing w:line="440" w:lineRule="exact"/>
              <w:jc w:val="center"/>
              <w:rPr>
                <w:rFonts w:ascii="Times New Roman" w:hAnsi="Times New Roman"/>
              </w:rPr>
            </w:pPr>
            <w:r>
              <w:rPr>
                <w:rFonts w:ascii="Times New Roman" w:hAnsi="Times New Roman"/>
              </w:rPr>
              <w:t>12.1.1</w:t>
            </w:r>
          </w:p>
        </w:tc>
        <w:tc>
          <w:tcPr>
            <w:tcW w:w="2268" w:type="dxa"/>
            <w:vAlign w:val="center"/>
          </w:tcPr>
          <w:p>
            <w:pPr>
              <w:pStyle w:val="17"/>
              <w:topLinePunct/>
              <w:spacing w:line="400" w:lineRule="exact"/>
              <w:rPr>
                <w:rFonts w:ascii="Times New Roman" w:hAnsi="Times New Roman"/>
                <w:color w:val="000000"/>
                <w:sz w:val="21"/>
                <w:szCs w:val="21"/>
              </w:rPr>
            </w:pPr>
          </w:p>
        </w:tc>
        <w:tc>
          <w:tcPr>
            <w:tcW w:w="1475" w:type="dxa"/>
            <w:vAlign w:val="center"/>
          </w:tcPr>
          <w:p>
            <w:pPr>
              <w:tabs>
                <w:tab w:val="left" w:pos="360"/>
              </w:tabs>
              <w:jc w:val="center"/>
              <w:rPr>
                <w:rFonts w:ascii="Times New Roman" w:hAnsi="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jc w:val="center"/>
              <w:rPr>
                <w:rFonts w:ascii="Times New Roman" w:hAnsi="Times New Roman"/>
              </w:rPr>
            </w:pPr>
            <w:r>
              <w:rPr>
                <w:rFonts w:ascii="Times New Roman" w:hAnsi="Times New Roman"/>
              </w:rPr>
              <w:t>……</w:t>
            </w:r>
          </w:p>
        </w:tc>
        <w:tc>
          <w:tcPr>
            <w:tcW w:w="2161" w:type="dxa"/>
          </w:tcPr>
          <w:p>
            <w:pPr>
              <w:jc w:val="center"/>
              <w:rPr>
                <w:rFonts w:ascii="Times New Roman" w:hAnsi="Times New Roman"/>
              </w:rPr>
            </w:pPr>
            <w:r>
              <w:rPr>
                <w:rFonts w:ascii="Times New Roman" w:hAnsi="Times New Roman"/>
              </w:rPr>
              <w:t>……</w:t>
            </w:r>
          </w:p>
        </w:tc>
        <w:tc>
          <w:tcPr>
            <w:tcW w:w="1513" w:type="dxa"/>
          </w:tcPr>
          <w:p>
            <w:pPr>
              <w:jc w:val="center"/>
              <w:rPr>
                <w:rFonts w:ascii="Times New Roman" w:hAnsi="Times New Roman"/>
              </w:rPr>
            </w:pPr>
            <w:r>
              <w:rPr>
                <w:rFonts w:ascii="Times New Roman" w:hAnsi="Times New Roman"/>
              </w:rPr>
              <w:t>……</w:t>
            </w:r>
          </w:p>
        </w:tc>
        <w:tc>
          <w:tcPr>
            <w:tcW w:w="2268" w:type="dxa"/>
          </w:tcPr>
          <w:p>
            <w:pPr>
              <w:jc w:val="center"/>
              <w:rPr>
                <w:rFonts w:ascii="Times New Roman" w:hAnsi="Times New Roman"/>
              </w:rPr>
            </w:pPr>
            <w:r>
              <w:rPr>
                <w:rFonts w:ascii="Times New Roman" w:hAnsi="Times New Roman"/>
              </w:rPr>
              <w:t>……</w:t>
            </w:r>
          </w:p>
        </w:tc>
        <w:tc>
          <w:tcPr>
            <w:tcW w:w="1475" w:type="dxa"/>
            <w:vAlign w:val="center"/>
          </w:tcPr>
          <w:p>
            <w:pPr>
              <w:spacing w:line="440" w:lineRule="exact"/>
              <w:ind w:firstLine="718" w:firstLineChars="342"/>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spacing w:before="100" w:beforeAutospacing="1" w:after="100" w:afterAutospacing="1"/>
              <w:jc w:val="center"/>
              <w:rPr>
                <w:rFonts w:ascii="Times New Roman" w:hAnsi="Times New Roman"/>
              </w:rPr>
            </w:pPr>
            <w:r>
              <w:rPr>
                <w:rFonts w:ascii="Times New Roman" w:hAnsi="Times New Roman"/>
              </w:rPr>
              <w:t>……</w:t>
            </w:r>
          </w:p>
        </w:tc>
        <w:tc>
          <w:tcPr>
            <w:tcW w:w="2161" w:type="dxa"/>
          </w:tcPr>
          <w:p>
            <w:pPr>
              <w:spacing w:before="100" w:beforeAutospacing="1" w:after="100" w:afterAutospacing="1"/>
              <w:jc w:val="center"/>
              <w:rPr>
                <w:rFonts w:ascii="Times New Roman" w:hAnsi="Times New Roman"/>
              </w:rPr>
            </w:pPr>
            <w:r>
              <w:rPr>
                <w:rFonts w:ascii="Times New Roman" w:hAnsi="Times New Roman"/>
              </w:rPr>
              <w:t>……</w:t>
            </w:r>
          </w:p>
        </w:tc>
        <w:tc>
          <w:tcPr>
            <w:tcW w:w="1513" w:type="dxa"/>
          </w:tcPr>
          <w:p>
            <w:pPr>
              <w:spacing w:before="100" w:beforeAutospacing="1" w:after="100" w:afterAutospacing="1"/>
              <w:jc w:val="center"/>
              <w:rPr>
                <w:rFonts w:ascii="Times New Roman" w:hAnsi="Times New Roman"/>
              </w:rPr>
            </w:pPr>
            <w:r>
              <w:rPr>
                <w:rFonts w:ascii="Times New Roman" w:hAnsi="Times New Roman"/>
              </w:rPr>
              <w:t>……</w:t>
            </w:r>
          </w:p>
        </w:tc>
        <w:tc>
          <w:tcPr>
            <w:tcW w:w="2268" w:type="dxa"/>
          </w:tcPr>
          <w:p>
            <w:pPr>
              <w:spacing w:before="100" w:beforeAutospacing="1" w:after="100" w:afterAutospacing="1"/>
              <w:jc w:val="center"/>
              <w:rPr>
                <w:rFonts w:ascii="Times New Roman" w:hAnsi="Times New Roman"/>
              </w:rPr>
            </w:pPr>
            <w:r>
              <w:rPr>
                <w:rFonts w:ascii="Times New Roman" w:hAnsi="Times New Roman"/>
              </w:rPr>
              <w:t>……</w:t>
            </w:r>
          </w:p>
        </w:tc>
        <w:tc>
          <w:tcPr>
            <w:tcW w:w="1475" w:type="dxa"/>
            <w:vAlign w:val="center"/>
          </w:tcPr>
          <w:p>
            <w:pPr>
              <w:spacing w:line="440" w:lineRule="exact"/>
              <w:rPr>
                <w:rFonts w:ascii="Times New Roman" w:hAnsi="Times New Roman"/>
              </w:rPr>
            </w:pPr>
          </w:p>
        </w:tc>
      </w:tr>
    </w:tbl>
    <w:p>
      <w:pPr>
        <w:spacing w:line="440" w:lineRule="exact"/>
        <w:ind w:firstLine="2520" w:firstLineChars="1200"/>
        <w:jc w:val="left"/>
        <w:rPr>
          <w:rFonts w:ascii="Times New Roman" w:hAnsi="Times New Roman"/>
          <w:szCs w:val="21"/>
        </w:rPr>
      </w:pPr>
    </w:p>
    <w:p>
      <w:pPr>
        <w:spacing w:line="440" w:lineRule="exact"/>
        <w:ind w:firstLine="2520" w:firstLineChars="1200"/>
        <w:jc w:val="left"/>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eastAsia="黑体"/>
          <w:color w:val="000000"/>
          <w:sz w:val="20"/>
        </w:rPr>
      </w:pPr>
    </w:p>
    <w:p>
      <w:pPr>
        <w:spacing w:line="440" w:lineRule="exact"/>
        <w:rPr>
          <w:rFonts w:ascii="Times New Roman" w:hAnsi="Times New Roman"/>
          <w:sz w:val="20"/>
        </w:rPr>
      </w:pPr>
    </w:p>
    <w:p>
      <w:pPr>
        <w:spacing w:line="440" w:lineRule="exact"/>
        <w:ind w:firstLine="420" w:firstLineChars="200"/>
        <w:rPr>
          <w:rFonts w:ascii="Times New Roman" w:hAnsi="Times New Roman"/>
          <w:szCs w:val="21"/>
        </w:rPr>
      </w:pPr>
      <w:r>
        <w:rPr>
          <w:rFonts w:ascii="Times New Roman" w:hAnsi="Times New Roman"/>
          <w:szCs w:val="21"/>
        </w:rPr>
        <w:br w:type="page"/>
      </w:r>
    </w:p>
    <w:p>
      <w:pPr>
        <w:pStyle w:val="3"/>
        <w:jc w:val="center"/>
        <w:rPr>
          <w:rFonts w:ascii="Times New Roman" w:hAnsi="Times New Roman"/>
          <w:color w:val="000000"/>
        </w:rPr>
      </w:pPr>
      <w:bookmarkStart w:id="488" w:name="_Toc492300529"/>
      <w:r>
        <w:rPr>
          <w:rFonts w:ascii="Times New Roman" w:hAnsi="Times New Roman"/>
          <w:color w:val="000000"/>
        </w:rPr>
        <w:t>二</w:t>
      </w:r>
      <w:bookmarkEnd w:id="471"/>
      <w:bookmarkEnd w:id="472"/>
      <w:bookmarkEnd w:id="473"/>
      <w:bookmarkEnd w:id="474"/>
      <w:bookmarkEnd w:id="475"/>
      <w:bookmarkEnd w:id="476"/>
      <w:bookmarkEnd w:id="477"/>
      <w:bookmarkEnd w:id="478"/>
      <w:bookmarkEnd w:id="479"/>
      <w:bookmarkEnd w:id="480"/>
      <w:bookmarkEnd w:id="481"/>
      <w:r>
        <w:rPr>
          <w:rFonts w:ascii="Times New Roman" w:hAnsi="Times New Roman"/>
          <w:color w:val="000000"/>
        </w:rPr>
        <w:t>、法定代表人身份证明</w:t>
      </w:r>
      <w:bookmarkEnd w:id="488"/>
    </w:p>
    <w:p>
      <w:pPr>
        <w:spacing w:line="440" w:lineRule="exact"/>
        <w:rPr>
          <w:rFonts w:ascii="Times New Roman" w:hAnsi="Times New Roman"/>
          <w:color w:val="000000"/>
        </w:rPr>
      </w:pPr>
      <w:r>
        <w:rPr>
          <w:rFonts w:ascii="Times New Roman" w:hAnsi="Times New Roman"/>
          <w:color w:val="000000"/>
        </w:rPr>
        <w:t>投标人名称：</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姓名：</w:t>
      </w:r>
      <w:r>
        <w:rPr>
          <w:rFonts w:ascii="Times New Roman" w:hAnsi="Times New Roman"/>
          <w:u w:val="single"/>
        </w:rPr>
        <w:t xml:space="preserve">                </w:t>
      </w:r>
      <w:r>
        <w:rPr>
          <w:rFonts w:ascii="Times New Roman" w:hAnsi="Times New Roman"/>
          <w:color w:val="000000"/>
        </w:rPr>
        <w:t>性别：</w:t>
      </w:r>
      <w:bookmarkStart w:id="489" w:name="_Toc369531698"/>
      <w:bookmarkStart w:id="490" w:name="_Toc352691662"/>
      <w:bookmarkStart w:id="491" w:name="_Toc27897"/>
      <w:r>
        <w:rPr>
          <w:rFonts w:ascii="Times New Roman" w:hAnsi="Times New Roman"/>
          <w:u w:val="single"/>
        </w:rPr>
        <w:t xml:space="preserve">        </w:t>
      </w:r>
      <w:r>
        <w:rPr>
          <w:rFonts w:ascii="Times New Roman" w:hAnsi="Times New Roman"/>
          <w:color w:val="000000"/>
        </w:rPr>
        <w:t>年</w:t>
      </w:r>
      <w:bookmarkEnd w:id="489"/>
      <w:bookmarkEnd w:id="490"/>
      <w:bookmarkEnd w:id="491"/>
      <w:r>
        <w:rPr>
          <w:rFonts w:ascii="Times New Roman" w:hAnsi="Times New Roman"/>
          <w:color w:val="000000"/>
        </w:rPr>
        <w:t>龄</w:t>
      </w:r>
      <w:bookmarkStart w:id="492" w:name="_Toc369531699"/>
      <w:bookmarkStart w:id="493" w:name="_Toc152042578"/>
      <w:bookmarkStart w:id="494" w:name="_Toc361508754"/>
      <w:bookmarkStart w:id="495" w:name="_Toc384308377"/>
      <w:bookmarkStart w:id="496" w:name="_Toc144974858"/>
      <w:bookmarkStart w:id="497" w:name="_Toc352691663"/>
      <w:bookmarkStart w:id="498" w:name="_Toc152045789"/>
      <w:bookmarkStart w:id="499" w:name="_Toc300835211"/>
      <w:bookmarkStart w:id="500" w:name="_Toc247514248"/>
      <w:bookmarkStart w:id="501" w:name="_Toc15573"/>
      <w:bookmarkStart w:id="502" w:name="_Toc247527829"/>
      <w:r>
        <w:rPr>
          <w:rFonts w:ascii="Times New Roman" w:hAnsi="Times New Roman"/>
          <w:color w:val="000000"/>
        </w:rPr>
        <w:t>：</w:t>
      </w:r>
      <w:bookmarkEnd w:id="492"/>
      <w:bookmarkEnd w:id="493"/>
      <w:bookmarkEnd w:id="494"/>
      <w:bookmarkEnd w:id="495"/>
      <w:bookmarkEnd w:id="496"/>
      <w:bookmarkEnd w:id="497"/>
      <w:bookmarkEnd w:id="498"/>
      <w:bookmarkEnd w:id="499"/>
      <w:bookmarkEnd w:id="500"/>
      <w:bookmarkEnd w:id="501"/>
      <w:bookmarkEnd w:id="502"/>
      <w:r>
        <w:rPr>
          <w:rFonts w:ascii="Times New Roman" w:hAnsi="Times New Roman"/>
          <w:u w:val="single"/>
        </w:rPr>
        <w:t xml:space="preserve">        </w:t>
      </w:r>
      <w:r>
        <w:rPr>
          <w:rFonts w:ascii="Times New Roman" w:hAnsi="Times New Roman"/>
          <w:color w:val="000000"/>
        </w:rPr>
        <w:t>职务：</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系</w:t>
      </w:r>
      <w:r>
        <w:rPr>
          <w:rFonts w:ascii="Times New Roman" w:hAnsi="Times New Roman"/>
          <w:u w:val="single"/>
        </w:rPr>
        <w:t xml:space="preserve">                        </w:t>
      </w:r>
      <w:r>
        <w:rPr>
          <w:rFonts w:ascii="Times New Roman" w:hAnsi="Times New Roman"/>
          <w:color w:val="000000"/>
        </w:rPr>
        <w:t>（投标人名称）的法定代表人。</w:t>
      </w:r>
    </w:p>
    <w:p>
      <w:pPr>
        <w:spacing w:line="440" w:lineRule="exact"/>
        <w:ind w:firstLine="420" w:firstLineChars="200"/>
        <w:rPr>
          <w:rFonts w:ascii="Times New Roman" w:hAnsi="Times New Roman"/>
          <w:color w:val="000000"/>
        </w:rPr>
      </w:pPr>
      <w:r>
        <w:rPr>
          <w:rFonts w:ascii="Times New Roman" w:hAnsi="Times New Roman"/>
          <w:color w:val="000000"/>
        </w:rPr>
        <w:t>特此证明。</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注：本身份证明需由投标人加盖单位公章。</w:t>
      </w:r>
    </w:p>
    <w:p>
      <w:pPr>
        <w:spacing w:line="440" w:lineRule="exact"/>
        <w:rPr>
          <w:rFonts w:ascii="Times New Roman" w:hAnsi="Times New Roman"/>
          <w:color w:val="000000"/>
        </w:rPr>
      </w:pPr>
    </w:p>
    <w:p>
      <w:pPr>
        <w:spacing w:line="440" w:lineRule="exact"/>
        <w:rPr>
          <w:rFonts w:ascii="Times New Roman" w:hAnsi="Times New Roman"/>
          <w:color w:val="000000"/>
        </w:rPr>
      </w:pPr>
    </w:p>
    <w:p>
      <w:pPr>
        <w:spacing w:line="440" w:lineRule="exact"/>
        <w:jc w:val="center"/>
        <w:rPr>
          <w:rFonts w:ascii="Times New Roman" w:hAnsi="Times New Roman"/>
          <w:color w:val="000000"/>
        </w:rPr>
      </w:pPr>
      <w:r>
        <w:rPr>
          <w:rFonts w:ascii="Times New Roman" w:hAnsi="Times New Roman"/>
          <w:color w:val="000000"/>
        </w:rPr>
        <w:t xml:space="preserve">                              投标人：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rPr>
          <w:rFonts w:ascii="Times New Roman" w:hAnsi="Times New Roman"/>
          <w:color w:val="000000"/>
        </w:rPr>
      </w:pPr>
    </w:p>
    <w:p>
      <w:pPr>
        <w:spacing w:line="440" w:lineRule="exact"/>
        <w:ind w:firstLine="4620" w:firstLineChars="2200"/>
        <w:rPr>
          <w:rFonts w:ascii="Times New Roman" w:hAnsi="Times New Roman"/>
          <w:color w:val="000000"/>
        </w:rPr>
      </w:pPr>
      <w:r>
        <w:rPr>
          <w:rFonts w:ascii="Times New Roman" w:hAnsi="Times New Roman"/>
          <w:u w:val="single"/>
        </w:rPr>
        <w:t xml:space="preserve">      </w:t>
      </w:r>
      <w:r>
        <w:rPr>
          <w:rFonts w:ascii="Times New Roman" w:hAnsi="Times New Roman"/>
          <w:color w:val="000000"/>
        </w:rPr>
        <w:t>年</w:t>
      </w:r>
      <w:r>
        <w:rPr>
          <w:rFonts w:ascii="Times New Roman" w:hAnsi="Times New Roman"/>
          <w:u w:val="single"/>
        </w:rPr>
        <w:t xml:space="preserve">      </w:t>
      </w:r>
      <w:r>
        <w:rPr>
          <w:rFonts w:ascii="Times New Roman" w:hAnsi="Times New Roman"/>
          <w:color w:val="000000"/>
        </w:rPr>
        <w:t>月</w:t>
      </w:r>
      <w:r>
        <w:rPr>
          <w:rFonts w:ascii="Times New Roman" w:hAnsi="Times New Roman"/>
          <w:u w:val="single"/>
        </w:rPr>
        <w:t xml:space="preserve">      </w:t>
      </w:r>
      <w:r>
        <w:rPr>
          <w:rFonts w:ascii="Times New Roman" w:hAnsi="Times New Roman"/>
          <w:color w:val="000000"/>
        </w:rPr>
        <w:t>日</w:t>
      </w:r>
    </w:p>
    <w:p>
      <w:pPr>
        <w:spacing w:line="440" w:lineRule="exact"/>
        <w:rPr>
          <w:rFonts w:ascii="Times New Roman" w:hAnsi="Times New Roman" w:eastAsia="黑体"/>
          <w:color w:val="000000"/>
          <w:sz w:val="20"/>
        </w:rPr>
      </w:pPr>
    </w:p>
    <w:p>
      <w:pPr>
        <w:spacing w:line="440" w:lineRule="exact"/>
        <w:jc w:val="center"/>
        <w:rPr>
          <w:rFonts w:ascii="Times New Roman" w:hAnsi="Times New Roman" w:eastAsia="黑体"/>
          <w:color w:val="000000"/>
          <w:sz w:val="20"/>
        </w:rPr>
      </w:pPr>
      <w:r>
        <w:rPr>
          <w:rFonts w:ascii="Times New Roman" w:hAnsi="Times New Roman" w:eastAsia="黑体"/>
          <w:color w:val="000000"/>
          <w:sz w:val="20"/>
        </w:rPr>
        <w:br w:type="page"/>
      </w:r>
    </w:p>
    <w:p>
      <w:pPr>
        <w:pStyle w:val="3"/>
        <w:jc w:val="center"/>
        <w:rPr>
          <w:rFonts w:ascii="Times New Roman" w:hAnsi="Times New Roman"/>
          <w:color w:val="000000"/>
        </w:rPr>
      </w:pPr>
      <w:bookmarkStart w:id="503" w:name="_Toc492300530"/>
      <w:r>
        <w:rPr>
          <w:rFonts w:hint="eastAsia" w:ascii="Times New Roman" w:hAnsi="Times New Roman"/>
        </w:rPr>
        <w:t>二、授权委托</w:t>
      </w:r>
      <w:r>
        <w:rPr>
          <w:rFonts w:hint="eastAsia" w:ascii="Times New Roman" w:hAnsi="Times New Roman"/>
          <w:color w:val="000000"/>
        </w:rPr>
        <w:t>书</w:t>
      </w:r>
      <w:bookmarkEnd w:id="503"/>
    </w:p>
    <w:p>
      <w:pPr>
        <w:topLinePunct/>
        <w:spacing w:line="440" w:lineRule="exact"/>
        <w:ind w:firstLine="420" w:firstLineChars="200"/>
        <w:rPr>
          <w:rFonts w:ascii="Times New Roman" w:hAnsi="Times New Roman"/>
          <w:color w:val="000000"/>
        </w:rPr>
      </w:pPr>
      <w:r>
        <w:rPr>
          <w:rFonts w:ascii="Times New Roman" w:hAnsi="Times New Roman"/>
          <w:color w:val="000000"/>
        </w:rPr>
        <w:t>本人</w:t>
      </w:r>
      <w:r>
        <w:rPr>
          <w:rFonts w:ascii="Times New Roman" w:hAnsi="Times New Roman"/>
          <w:u w:val="single"/>
        </w:rPr>
        <w:t xml:space="preserve">              </w:t>
      </w:r>
      <w:r>
        <w:rPr>
          <w:rFonts w:ascii="Times New Roman" w:hAnsi="Times New Roman"/>
          <w:color w:val="000000"/>
        </w:rPr>
        <w:t>（姓名）系</w:t>
      </w:r>
      <w:r>
        <w:rPr>
          <w:rFonts w:ascii="Times New Roman" w:hAnsi="Times New Roman"/>
          <w:u w:val="single"/>
        </w:rPr>
        <w:t xml:space="preserve">                    </w:t>
      </w:r>
      <w:r>
        <w:rPr>
          <w:rFonts w:ascii="Times New Roman" w:hAnsi="Times New Roman"/>
          <w:color w:val="000000"/>
        </w:rPr>
        <w:t>（投标人名称）的法定代表人，现委托</w:t>
      </w:r>
      <w:r>
        <w:rPr>
          <w:rFonts w:ascii="Times New Roman" w:hAnsi="Times New Roman"/>
          <w:u w:val="single"/>
        </w:rPr>
        <w:t xml:space="preserve">            </w:t>
      </w:r>
      <w:r>
        <w:rPr>
          <w:rFonts w:ascii="Times New Roman" w:hAnsi="Times New Roman"/>
          <w:color w:val="000000"/>
        </w:rPr>
        <w:t>（姓名）为我方代理人。代理人根据授权，以我方名义签署、澄清确认、递交、撤回、修改设计招标项目投标文件、签订合同和处理有关事宜，其法律后果由我方承担。</w:t>
      </w:r>
    </w:p>
    <w:p>
      <w:pPr>
        <w:spacing w:line="440" w:lineRule="exact"/>
        <w:rPr>
          <w:rFonts w:ascii="Times New Roman" w:hAnsi="Times New Roman"/>
          <w:color w:val="000000"/>
        </w:rPr>
      </w:pPr>
      <w:r>
        <w:rPr>
          <w:rFonts w:ascii="Times New Roman" w:hAnsi="Times New Roman"/>
          <w:color w:val="000000"/>
        </w:rPr>
        <w:t>委托期限：</w:t>
      </w:r>
      <w:r>
        <w:rPr>
          <w:rFonts w:ascii="Times New Roman" w:hAnsi="Times New Roman"/>
          <w:u w:val="single"/>
        </w:rPr>
        <w:t xml:space="preserve">                       </w:t>
      </w:r>
      <w:r>
        <w:rPr>
          <w:rFonts w:ascii="Times New Roman" w:hAnsi="Times New Roman"/>
          <w:color w:val="000000"/>
        </w:rPr>
        <w:t>。</w:t>
      </w:r>
    </w:p>
    <w:p>
      <w:pPr>
        <w:spacing w:line="440" w:lineRule="exact"/>
        <w:ind w:firstLine="420" w:firstLineChars="200"/>
        <w:rPr>
          <w:rFonts w:ascii="Times New Roman" w:hAnsi="Times New Roman"/>
          <w:color w:val="000000"/>
        </w:rPr>
      </w:pPr>
      <w:r>
        <w:rPr>
          <w:rFonts w:ascii="Times New Roman" w:hAnsi="Times New Roman"/>
          <w:color w:val="000000"/>
        </w:rPr>
        <w:t>代理人无转委托权。</w:t>
      </w:r>
    </w:p>
    <w:p>
      <w:pPr>
        <w:spacing w:line="440" w:lineRule="exact"/>
        <w:ind w:firstLine="420" w:firstLineChars="200"/>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附：法定代表人身份证复印件及委托代理人身份证复印件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注：本授权委托书需由投标人加盖单位公章并由其法定代表人和委托代理人签字。</w:t>
      </w:r>
    </w:p>
    <w:p>
      <w:pPr>
        <w:spacing w:line="440" w:lineRule="exact"/>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投  标  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ind w:firstLine="2692" w:firstLineChars="1282"/>
        <w:rPr>
          <w:rFonts w:ascii="Times New Roman" w:hAnsi="Times New Roman"/>
          <w:color w:val="000000"/>
        </w:rPr>
      </w:pPr>
    </w:p>
    <w:p>
      <w:pPr>
        <w:spacing w:line="440" w:lineRule="exact"/>
        <w:ind w:firstLine="2690" w:firstLineChars="1281"/>
        <w:jc w:val="left"/>
        <w:rPr>
          <w:rFonts w:ascii="Times New Roman" w:hAnsi="Times New Roman"/>
          <w:color w:val="000000"/>
        </w:rPr>
      </w:pPr>
      <w:r>
        <w:rPr>
          <w:rFonts w:ascii="Times New Roman" w:hAnsi="Times New Roman"/>
          <w:color w:val="000000"/>
        </w:rPr>
        <w:t>法定代表人：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委托代理人：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p>
    <w:p>
      <w:pPr>
        <w:spacing w:line="440" w:lineRule="exact"/>
        <w:ind w:firstLine="4057" w:firstLineChars="1932"/>
        <w:jc w:val="right"/>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r>
        <w:rPr>
          <w:rFonts w:ascii="Times New Roman" w:hAnsi="Times New Roman"/>
          <w:color w:val="000000"/>
        </w:rPr>
        <w:br w:type="page"/>
      </w:r>
    </w:p>
    <w:p>
      <w:pPr>
        <w:pStyle w:val="3"/>
        <w:jc w:val="center"/>
        <w:rPr>
          <w:rFonts w:ascii="Times New Roman" w:hAnsi="Times New Roman"/>
        </w:rPr>
      </w:pPr>
      <w:bookmarkStart w:id="504" w:name="_Toc492300532"/>
      <w:r>
        <w:rPr>
          <w:rFonts w:hint="eastAsia" w:ascii="Times New Roman" w:hAnsi="Times New Roman"/>
        </w:rPr>
        <w:t>四、</w:t>
      </w:r>
      <w:bookmarkStart w:id="505" w:name="_Toc152045792"/>
      <w:bookmarkStart w:id="506" w:name="_Toc352691666"/>
      <w:bookmarkStart w:id="507" w:name="_Toc361508757"/>
      <w:bookmarkStart w:id="508" w:name="_Toc144974861"/>
      <w:bookmarkStart w:id="509" w:name="_Toc369531702"/>
      <w:bookmarkStart w:id="510" w:name="_Toc247514284"/>
      <w:bookmarkStart w:id="511" w:name="_Toc247527832"/>
      <w:bookmarkStart w:id="512" w:name="_Toc152042581"/>
      <w:bookmarkStart w:id="513" w:name="_Toc300835214"/>
      <w:bookmarkStart w:id="514" w:name="_Toc13469"/>
      <w:bookmarkStart w:id="515" w:name="_Toc384308381"/>
      <w:r>
        <w:rPr>
          <w:rFonts w:hint="eastAsia" w:ascii="Times New Roman" w:hAnsi="Times New Roman"/>
        </w:rPr>
        <w:t>投标保证金</w:t>
      </w:r>
      <w:bookmarkEnd w:id="504"/>
    </w:p>
    <w:p>
      <w:pPr>
        <w:spacing w:line="440" w:lineRule="exact"/>
        <w:ind w:firstLine="420" w:firstLineChars="200"/>
        <w:rPr>
          <w:rFonts w:ascii="Times New Roman" w:hAnsi="Times New Roman"/>
          <w:szCs w:val="21"/>
        </w:rPr>
      </w:pPr>
      <w:r>
        <w:rPr>
          <w:rFonts w:ascii="Times New Roman" w:hAnsi="Times New Roman"/>
          <w:szCs w:val="21"/>
        </w:rPr>
        <w:t>投标人应在此提供汇款凭证的复印件。</w:t>
      </w:r>
    </w:p>
    <w:bookmarkEnd w:id="505"/>
    <w:bookmarkEnd w:id="506"/>
    <w:bookmarkEnd w:id="507"/>
    <w:bookmarkEnd w:id="508"/>
    <w:bookmarkEnd w:id="509"/>
    <w:bookmarkEnd w:id="510"/>
    <w:bookmarkEnd w:id="511"/>
    <w:bookmarkEnd w:id="512"/>
    <w:bookmarkEnd w:id="513"/>
    <w:bookmarkEnd w:id="514"/>
    <w:bookmarkEnd w:id="515"/>
    <w:p>
      <w:pPr>
        <w:pStyle w:val="3"/>
        <w:jc w:val="center"/>
        <w:rPr>
          <w:rFonts w:ascii="Times New Roman" w:hAnsi="Times New Roman"/>
        </w:rPr>
      </w:pPr>
      <w:bookmarkStart w:id="516" w:name="_Toc492300533"/>
      <w:r>
        <w:rPr>
          <w:rFonts w:ascii="Times New Roman" w:hAnsi="Times New Roman"/>
        </w:rPr>
        <w:t>五、设计费用清单</w:t>
      </w:r>
      <w:bookmarkEnd w:id="516"/>
    </w:p>
    <w:p>
      <w:pPr>
        <w:spacing w:line="440" w:lineRule="exact"/>
        <w:ind w:firstLine="420" w:firstLineChars="200"/>
        <w:rPr>
          <w:rFonts w:ascii="Times New Roman" w:hAnsi="Times New Roman"/>
          <w:szCs w:val="21"/>
        </w:rPr>
      </w:pPr>
      <w:r>
        <w:rPr>
          <w:rFonts w:ascii="Times New Roman" w:hAnsi="Times New Roman"/>
          <w:szCs w:val="21"/>
        </w:rPr>
        <w:t>1. 设计费用清单说明</w:t>
      </w:r>
    </w:p>
    <w:p>
      <w:pPr>
        <w:spacing w:line="440" w:lineRule="exact"/>
        <w:ind w:firstLine="420" w:firstLineChars="200"/>
        <w:rPr>
          <w:rFonts w:ascii="Times New Roman" w:hAnsi="Times New Roman"/>
          <w:szCs w:val="21"/>
        </w:rPr>
      </w:pPr>
      <w:r>
        <w:rPr>
          <w:rFonts w:ascii="Times New Roman" w:hAnsi="Times New Roman"/>
          <w:szCs w:val="21"/>
        </w:rPr>
        <w:t>2. 设计费用清单</w:t>
      </w:r>
    </w:p>
    <w:p>
      <w:pPr>
        <w:spacing w:line="440" w:lineRule="exact"/>
        <w:ind w:firstLine="420" w:firstLineChars="200"/>
        <w:jc w:val="right"/>
        <w:rPr>
          <w:rFonts w:ascii="Times New Roman" w:hAnsi="Times New Roman"/>
          <w:szCs w:val="21"/>
        </w:rPr>
      </w:pPr>
      <w:r>
        <w:rPr>
          <w:rFonts w:ascii="Times New Roman" w:hAnsi="Times New Roman"/>
          <w:szCs w:val="21"/>
        </w:rPr>
        <w:t>单位：人民币元</w:t>
      </w:r>
    </w:p>
    <w:tbl>
      <w:tblPr>
        <w:tblStyle w:val="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rPr>
            </w:pPr>
            <w:bookmarkStart w:id="517" w:name="_Toc361508760"/>
            <w:r>
              <w:rPr>
                <w:rFonts w:ascii="Times New Roman" w:hAnsi="Times New Roman"/>
                <w:b/>
                <w:kern w:val="0"/>
                <w:szCs w:val="21"/>
              </w:rPr>
              <w:t>序号</w:t>
            </w:r>
          </w:p>
        </w:tc>
        <w:tc>
          <w:tcPr>
            <w:tcW w:w="2410" w:type="dxa"/>
            <w:vAlign w:val="center"/>
          </w:tcPr>
          <w:p>
            <w:pPr>
              <w:widowControl/>
              <w:jc w:val="center"/>
              <w:rPr>
                <w:rFonts w:ascii="Times New Roman" w:hAnsi="Times New Roman"/>
                <w:b/>
                <w:kern w:val="0"/>
                <w:szCs w:val="21"/>
              </w:rPr>
            </w:pPr>
            <w:r>
              <w:rPr>
                <w:rFonts w:ascii="Times New Roman" w:hAnsi="Times New Roman"/>
                <w:b/>
                <w:kern w:val="0"/>
                <w:szCs w:val="21"/>
              </w:rPr>
              <w:t>设计费用分项名称</w:t>
            </w:r>
          </w:p>
        </w:tc>
        <w:tc>
          <w:tcPr>
            <w:tcW w:w="2268" w:type="dxa"/>
            <w:vAlign w:val="center"/>
          </w:tcPr>
          <w:p>
            <w:pPr>
              <w:widowControl/>
              <w:jc w:val="center"/>
              <w:rPr>
                <w:rFonts w:ascii="Times New Roman" w:hAnsi="Times New Roman"/>
                <w:b/>
                <w:kern w:val="0"/>
                <w:szCs w:val="21"/>
              </w:rPr>
            </w:pPr>
            <w:r>
              <w:rPr>
                <w:rFonts w:ascii="Times New Roman" w:hAnsi="Times New Roman"/>
                <w:b/>
                <w:kern w:val="0"/>
                <w:szCs w:val="21"/>
              </w:rPr>
              <w:t>计算依据、过程和公式</w:t>
            </w:r>
          </w:p>
        </w:tc>
        <w:tc>
          <w:tcPr>
            <w:tcW w:w="1322" w:type="dxa"/>
            <w:vAlign w:val="center"/>
          </w:tcPr>
          <w:p>
            <w:pPr>
              <w:widowControl/>
              <w:jc w:val="center"/>
              <w:rPr>
                <w:rFonts w:ascii="Times New Roman" w:hAnsi="Times New Roman"/>
                <w:b/>
                <w:kern w:val="0"/>
                <w:szCs w:val="21"/>
              </w:rPr>
            </w:pPr>
            <w:r>
              <w:rPr>
                <w:rFonts w:ascii="Times New Roman" w:hAnsi="Times New Roman"/>
                <w:b/>
                <w:kern w:val="0"/>
                <w:szCs w:val="21"/>
              </w:rPr>
              <w:t>金额（元）</w:t>
            </w:r>
          </w:p>
        </w:tc>
        <w:tc>
          <w:tcPr>
            <w:tcW w:w="1938" w:type="dxa"/>
            <w:vAlign w:val="center"/>
          </w:tcPr>
          <w:p>
            <w:pPr>
              <w:widowControl/>
              <w:jc w:val="center"/>
              <w:rPr>
                <w:rFonts w:ascii="Times New Roman" w:hAnsi="Times New Roman"/>
                <w:b/>
                <w:kern w:val="0"/>
                <w:szCs w:val="21"/>
              </w:rPr>
            </w:pPr>
            <w:r>
              <w:rPr>
                <w:rFonts w:ascii="Times New Roman" w:hAnsi="Times New Roman"/>
                <w:b/>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rPr>
            </w:pPr>
            <w:r>
              <w:rPr>
                <w:rFonts w:ascii="Times New Roman" w:hAnsi="Times New Roman"/>
              </w:rPr>
              <w:t>1</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2</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3</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4</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5</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410"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rPr>
            </w:pPr>
            <w:r>
              <w:rPr>
                <w:rFonts w:hint="eastAsia" w:ascii="Times New Roman" w:hAnsi="Times New Roman"/>
                <w:b/>
                <w:kern w:val="0"/>
                <w:szCs w:val="21"/>
              </w:rPr>
              <w:t>合计报价</w:t>
            </w: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bl>
    <w:p>
      <w:pPr>
        <w:widowControl/>
        <w:ind w:right="105"/>
        <w:jc w:val="right"/>
        <w:rPr>
          <w:rFonts w:ascii="Times New Roman" w:hAnsi="Times New Roman"/>
          <w:kern w:val="0"/>
        </w:rPr>
      </w:pPr>
    </w:p>
    <w:p>
      <w:pPr>
        <w:widowControl/>
        <w:ind w:right="105"/>
        <w:jc w:val="right"/>
        <w:rPr>
          <w:rFonts w:ascii="Times New Roman" w:hAnsi="Times New Roman"/>
          <w:kern w:val="0"/>
        </w:rPr>
      </w:pPr>
    </w:p>
    <w:p>
      <w:pPr>
        <w:spacing w:line="400" w:lineRule="exact"/>
        <w:ind w:firstLine="420" w:firstLineChars="200"/>
        <w:rPr>
          <w:rFonts w:ascii="Times New Roman" w:hAnsi="Times New Roman"/>
        </w:rPr>
      </w:pPr>
    </w:p>
    <w:p>
      <w:pPr>
        <w:widowControl/>
        <w:ind w:right="105"/>
        <w:jc w:val="left"/>
        <w:rPr>
          <w:rFonts w:ascii="Times New Roman" w:hAnsi="Times New Roman"/>
          <w:kern w:val="0"/>
        </w:rPr>
      </w:pPr>
    </w:p>
    <w:p>
      <w:pPr>
        <w:pStyle w:val="3"/>
        <w:spacing w:after="0"/>
        <w:jc w:val="center"/>
        <w:rPr>
          <w:rFonts w:ascii="Times New Roman" w:hAnsi="Times New Roman"/>
          <w:color w:val="000000"/>
        </w:rPr>
      </w:pPr>
      <w:r>
        <w:rPr>
          <w:rFonts w:ascii="Times New Roman" w:hAnsi="Times New Roman"/>
          <w:color w:val="000000"/>
        </w:rPr>
        <w:br w:type="page"/>
      </w:r>
      <w:bookmarkStart w:id="518" w:name="_Toc492300534"/>
      <w:r>
        <w:rPr>
          <w:rFonts w:hint="eastAsia" w:ascii="Times New Roman" w:hAnsi="Times New Roman"/>
          <w:color w:val="000000"/>
        </w:rPr>
        <w:t>六、资格审查资料</w:t>
      </w:r>
      <w:bookmarkEnd w:id="518"/>
    </w:p>
    <w:p>
      <w:pPr>
        <w:pStyle w:val="4"/>
        <w:spacing w:before="20" w:after="0"/>
        <w:ind w:firstLine="137"/>
        <w:rPr>
          <w:rFonts w:ascii="Times New Roman" w:hAnsi="Times New Roman"/>
          <w:color w:val="000000"/>
        </w:rPr>
      </w:pPr>
      <w:bookmarkStart w:id="519" w:name="_Toc492300535"/>
      <w:r>
        <w:rPr>
          <w:rFonts w:hint="eastAsia" w:ascii="Times New Roman" w:hAnsi="Times New Roman"/>
          <w:color w:val="000000"/>
        </w:rPr>
        <w:t>（一）基本情况表</w:t>
      </w:r>
      <w:bookmarkEnd w:id="519"/>
    </w:p>
    <w:tbl>
      <w:tblPr>
        <w:tblStyle w:val="43"/>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w:t>
            </w:r>
            <w:r>
              <w:rPr>
                <w:rFonts w:ascii="Times New Roman" w:hAnsi="Times New Roman"/>
              </w:rPr>
              <w:t xml:space="preserve"> </w:t>
            </w:r>
            <w:r>
              <w:rPr>
                <w:rFonts w:hint="eastAsia" w:ascii="Times New Roman" w:hAnsi="Times New Roman"/>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传</w:t>
            </w:r>
            <w:r>
              <w:rPr>
                <w:rFonts w:ascii="Times New Roman" w:hAnsi="Times New Roman"/>
              </w:rPr>
              <w:t xml:space="preserve">  </w:t>
            </w:r>
            <w:r>
              <w:rPr>
                <w:rFonts w:hint="eastAsia" w:ascii="Times New Roman" w:hAnsi="Times New Roman"/>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网</w:t>
            </w:r>
            <w:r>
              <w:rPr>
                <w:rFonts w:ascii="Times New Roman" w:hAnsi="Times New Roman"/>
              </w:rPr>
              <w:t xml:space="preserve"> </w:t>
            </w:r>
            <w:r>
              <w:rPr>
                <w:rFonts w:hint="eastAsia" w:ascii="Times New Roman" w:hAnsi="Times New Roman"/>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企业</w:t>
            </w:r>
            <w:r>
              <w:rPr>
                <w:rFonts w:hint="eastAsia" w:ascii="Times New Roman" w:hAnsi="Times New Roman"/>
                <w:szCs w:val="21"/>
              </w:rPr>
              <w:t>设计</w:t>
            </w:r>
            <w:r>
              <w:rPr>
                <w:rFonts w:hint="eastAsia" w:ascii="Times New Roman" w:hAnsi="Times New Roman"/>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rPr>
            </w:pPr>
            <w:r>
              <w:rPr>
                <w:rFonts w:hint="eastAsia" w:ascii="Times New Roman" w:hAnsi="Times New Roman"/>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bl>
    <w:p>
      <w:pPr>
        <w:spacing w:line="400" w:lineRule="exact"/>
        <w:rPr>
          <w:rFonts w:ascii="Times New Roman" w:hAnsi="Times New Roman"/>
          <w:color w:val="000000"/>
        </w:rPr>
      </w:pPr>
      <w:r>
        <w:rPr>
          <w:rFonts w:ascii="Times New Roman" w:hAnsi="Times New Roman"/>
          <w:color w:val="000000"/>
        </w:rPr>
        <w:t>注：投标人应根据投标人须知第3.5.1项的要求在本表后附相关证明材料。境内投标人以现金或者支票形式提交投标保证金的，还应附基本账户开户许可证复印件。</w:t>
      </w:r>
    </w:p>
    <w:p>
      <w:pPr>
        <w:spacing w:line="440" w:lineRule="exact"/>
        <w:rPr>
          <w:rFonts w:ascii="Times New Roman" w:hAnsi="Times New Roman"/>
          <w:color w:val="000000"/>
          <w:u w:val="single"/>
        </w:rPr>
      </w:pPr>
    </w:p>
    <w:p>
      <w:pPr>
        <w:pStyle w:val="4"/>
        <w:ind w:firstLine="137"/>
        <w:rPr>
          <w:rFonts w:ascii="Times New Roman" w:hAnsi="Times New Roman"/>
        </w:rPr>
      </w:pPr>
      <w:bookmarkStart w:id="520" w:name="_Toc492300537"/>
      <w:r>
        <w:rPr>
          <w:rFonts w:hint="eastAsia" w:ascii="Times New Roman" w:hAnsi="Times New Roman"/>
        </w:rPr>
        <w:t>（三）近年完成的类似项目情况表</w:t>
      </w:r>
      <w:bookmarkEnd w:id="520"/>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设计服务期限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设计内容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投标人应根据投标人须知第3.5.3项的要求在本表后附相关证明材料。</w:t>
      </w:r>
    </w:p>
    <w:p>
      <w:pPr>
        <w:spacing w:line="440" w:lineRule="exact"/>
        <w:rPr>
          <w:rFonts w:ascii="Times New Roman" w:hAnsi="Times New Roman"/>
        </w:rPr>
      </w:pPr>
    </w:p>
    <w:p>
      <w:pPr>
        <w:spacing w:line="440" w:lineRule="exact"/>
        <w:rPr>
          <w:rFonts w:ascii="Times New Roman" w:hAnsi="Times New Roman"/>
        </w:rPr>
      </w:pPr>
    </w:p>
    <w:p>
      <w:pPr>
        <w:topLinePunct/>
        <w:spacing w:line="440" w:lineRule="exact"/>
        <w:rPr>
          <w:rFonts w:ascii="Times New Roman" w:hAnsi="Times New Roman"/>
        </w:rPr>
      </w:pPr>
      <w:r>
        <w:rPr>
          <w:rFonts w:ascii="Times New Roman" w:hAnsi="Times New Roman"/>
        </w:rPr>
        <w:br w:type="page"/>
      </w:r>
    </w:p>
    <w:p>
      <w:pPr>
        <w:pStyle w:val="4"/>
        <w:ind w:firstLine="137"/>
        <w:rPr>
          <w:rFonts w:ascii="Times New Roman" w:hAnsi="Times New Roman"/>
        </w:rPr>
      </w:pPr>
      <w:bookmarkStart w:id="521" w:name="_Toc247527850"/>
      <w:bookmarkStart w:id="522" w:name="_Toc492300538"/>
      <w:bookmarkStart w:id="523" w:name="_Toc384308388"/>
      <w:bookmarkStart w:id="524" w:name="_Toc144974878"/>
      <w:bookmarkStart w:id="525" w:name="_Toc247514302"/>
      <w:bookmarkStart w:id="526" w:name="_Toc300835226"/>
      <w:bookmarkStart w:id="527" w:name="_Toc152045810"/>
      <w:bookmarkStart w:id="528" w:name="_Toc359594247"/>
      <w:bookmarkStart w:id="529" w:name="_Toc370676438"/>
      <w:bookmarkStart w:id="530" w:name="_Toc361508766"/>
      <w:bookmarkStart w:id="531" w:name="_Toc152042599"/>
      <w:bookmarkStart w:id="532" w:name="_Toc247527851"/>
      <w:bookmarkStart w:id="533" w:name="_Toc152045811"/>
      <w:bookmarkStart w:id="534" w:name="_Toc144974879"/>
      <w:bookmarkStart w:id="535" w:name="_Toc247514303"/>
      <w:bookmarkStart w:id="536" w:name="_Toc152042600"/>
      <w:r>
        <w:rPr>
          <w:rFonts w:hint="eastAsia" w:ascii="Times New Roman" w:hAnsi="Times New Roman"/>
        </w:rPr>
        <w:t>（四）正在设计和新承接的项目情况表</w:t>
      </w:r>
      <w:bookmarkEnd w:id="521"/>
      <w:bookmarkEnd w:id="522"/>
      <w:bookmarkEnd w:id="523"/>
      <w:bookmarkEnd w:id="524"/>
      <w:bookmarkEnd w:id="525"/>
      <w:bookmarkEnd w:id="526"/>
      <w:bookmarkEnd w:id="527"/>
      <w:bookmarkEnd w:id="528"/>
      <w:bookmarkEnd w:id="529"/>
      <w:bookmarkEnd w:id="530"/>
      <w:bookmarkEnd w:id="531"/>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设计服务期限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设计内容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bookmarkEnd w:id="532"/>
      <w:bookmarkEnd w:id="533"/>
      <w:bookmarkEnd w:id="534"/>
      <w:bookmarkEnd w:id="535"/>
      <w:bookmarkEnd w:id="536"/>
    </w:tbl>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投标人应根据投标人须知第3.5.4项的要求在本表后附相关证明材料。</w:t>
      </w:r>
    </w:p>
    <w:p>
      <w:pPr>
        <w:spacing w:line="440" w:lineRule="exact"/>
        <w:rPr>
          <w:rFonts w:ascii="Times New Roman" w:hAnsi="Times New Roman"/>
        </w:rPr>
      </w:pPr>
      <w:r>
        <w:rPr>
          <w:rFonts w:ascii="Times New Roman" w:hAnsi="Times New Roman"/>
        </w:rPr>
        <w:br w:type="page"/>
      </w:r>
    </w:p>
    <w:bookmarkEnd w:id="517"/>
    <w:p>
      <w:pPr>
        <w:rPr>
          <w:rFonts w:ascii="Times New Roman" w:hAnsi="Times New Roman"/>
          <w:sz w:val="28"/>
          <w:szCs w:val="28"/>
        </w:rPr>
      </w:pPr>
    </w:p>
    <w:p>
      <w:pPr>
        <w:pStyle w:val="4"/>
        <w:ind w:firstLine="0" w:firstLineChars="0"/>
        <w:rPr>
          <w:rFonts w:ascii="Times New Roman" w:hAnsi="Times New Roman"/>
        </w:rPr>
      </w:pPr>
      <w:bookmarkStart w:id="537" w:name="_Toc482188667"/>
      <w:bookmarkStart w:id="538" w:name="_Toc492300540"/>
      <w:r>
        <w:rPr>
          <w:rFonts w:hint="eastAsia" w:ascii="Times New Roman" w:hAnsi="Times New Roman"/>
        </w:rPr>
        <w:t>（六）拟委任的主要人员汇总表</w:t>
      </w:r>
      <w:bookmarkEnd w:id="537"/>
      <w:bookmarkEnd w:id="538"/>
    </w:p>
    <w:tbl>
      <w:tblPr>
        <w:tblStyle w:val="43"/>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rPr>
            </w:pPr>
            <w:r>
              <w:rPr>
                <w:rFonts w:hint="eastAsia" w:ascii="Times New Roman" w:hAnsi="Times New Roman"/>
              </w:rPr>
              <w:t>序号</w:t>
            </w:r>
          </w:p>
        </w:tc>
        <w:tc>
          <w:tcPr>
            <w:tcW w:w="1275" w:type="dxa"/>
            <w:vMerge w:val="restart"/>
            <w:vAlign w:val="center"/>
          </w:tcPr>
          <w:p>
            <w:pPr>
              <w:spacing w:line="440" w:lineRule="exact"/>
              <w:jc w:val="center"/>
              <w:rPr>
                <w:rFonts w:ascii="Times New Roman" w:hAnsi="Times New Roman"/>
              </w:rPr>
            </w:pPr>
            <w:r>
              <w:rPr>
                <w:rFonts w:hint="eastAsia" w:ascii="Times New Roman" w:hAnsi="Times New Roman"/>
              </w:rPr>
              <w:t>本项目任职</w:t>
            </w:r>
          </w:p>
        </w:tc>
        <w:tc>
          <w:tcPr>
            <w:tcW w:w="992" w:type="dxa"/>
            <w:vMerge w:val="restart"/>
            <w:vAlign w:val="center"/>
          </w:tcPr>
          <w:p>
            <w:pPr>
              <w:spacing w:line="440" w:lineRule="exact"/>
              <w:jc w:val="center"/>
              <w:rPr>
                <w:rFonts w:ascii="Times New Roman" w:hAnsi="Times New Roman"/>
              </w:rPr>
            </w:pPr>
            <w:r>
              <w:rPr>
                <w:rFonts w:hint="eastAsia" w:ascii="Times New Roman" w:hAnsi="Times New Roman"/>
              </w:rPr>
              <w:t>姓名</w:t>
            </w:r>
          </w:p>
        </w:tc>
        <w:tc>
          <w:tcPr>
            <w:tcW w:w="603" w:type="dxa"/>
            <w:vMerge w:val="restart"/>
            <w:vAlign w:val="center"/>
          </w:tcPr>
          <w:p>
            <w:pPr>
              <w:spacing w:line="440" w:lineRule="exact"/>
              <w:jc w:val="center"/>
              <w:rPr>
                <w:rFonts w:ascii="Times New Roman" w:hAnsi="Times New Roman"/>
              </w:rPr>
            </w:pPr>
            <w:r>
              <w:rPr>
                <w:rFonts w:hint="eastAsia" w:ascii="Times New Roman" w:hAnsi="Times New Roman"/>
              </w:rPr>
              <w:t>职称</w:t>
            </w:r>
          </w:p>
        </w:tc>
        <w:tc>
          <w:tcPr>
            <w:tcW w:w="488" w:type="dxa"/>
            <w:vMerge w:val="restart"/>
            <w:vAlign w:val="center"/>
          </w:tcPr>
          <w:p>
            <w:pPr>
              <w:spacing w:line="440" w:lineRule="exact"/>
              <w:jc w:val="center"/>
              <w:rPr>
                <w:rFonts w:ascii="Times New Roman" w:hAnsi="Times New Roman"/>
              </w:rPr>
            </w:pPr>
            <w:r>
              <w:rPr>
                <w:rFonts w:hint="eastAsia" w:ascii="Times New Roman" w:hAnsi="Times New Roman"/>
              </w:rPr>
              <w:t>专业</w:t>
            </w:r>
          </w:p>
        </w:tc>
        <w:tc>
          <w:tcPr>
            <w:tcW w:w="2714" w:type="dxa"/>
            <w:gridSpan w:val="3"/>
            <w:vAlign w:val="center"/>
          </w:tcPr>
          <w:p>
            <w:pPr>
              <w:spacing w:line="440" w:lineRule="exact"/>
              <w:jc w:val="center"/>
              <w:rPr>
                <w:rFonts w:ascii="Times New Roman" w:hAnsi="Times New Roman"/>
              </w:rPr>
            </w:pPr>
            <w:r>
              <w:rPr>
                <w:rFonts w:hint="eastAsia" w:ascii="Times New Roman" w:hAnsi="Times New Roman"/>
              </w:rPr>
              <w:t>执业或职业资格证明</w:t>
            </w:r>
          </w:p>
        </w:tc>
        <w:tc>
          <w:tcPr>
            <w:tcW w:w="1134" w:type="dxa"/>
            <w:vAlign w:val="center"/>
          </w:tcPr>
          <w:p>
            <w:pPr>
              <w:spacing w:line="440" w:lineRule="exact"/>
              <w:jc w:val="center"/>
              <w:rPr>
                <w:rFonts w:ascii="Times New Roman" w:hAnsi="Times New Roman"/>
              </w:rPr>
            </w:pPr>
            <w:r>
              <w:rPr>
                <w:rFonts w:hint="eastAsia"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rPr>
            </w:pPr>
          </w:p>
        </w:tc>
        <w:tc>
          <w:tcPr>
            <w:tcW w:w="1275" w:type="dxa"/>
            <w:vMerge w:val="continue"/>
          </w:tcPr>
          <w:p>
            <w:pPr>
              <w:rPr>
                <w:rFonts w:ascii="Times New Roman" w:hAnsi="Times New Roman"/>
              </w:rPr>
            </w:pPr>
          </w:p>
        </w:tc>
        <w:tc>
          <w:tcPr>
            <w:tcW w:w="992" w:type="dxa"/>
            <w:vMerge w:val="continue"/>
            <w:vAlign w:val="center"/>
          </w:tcPr>
          <w:p>
            <w:pPr>
              <w:rPr>
                <w:rFonts w:ascii="Times New Roman" w:hAnsi="Times New Roman"/>
              </w:rPr>
            </w:pPr>
          </w:p>
        </w:tc>
        <w:tc>
          <w:tcPr>
            <w:tcW w:w="603" w:type="dxa"/>
            <w:vMerge w:val="continue"/>
            <w:vAlign w:val="center"/>
          </w:tcPr>
          <w:p>
            <w:pPr>
              <w:rPr>
                <w:rFonts w:ascii="Times New Roman" w:hAnsi="Times New Roman"/>
              </w:rPr>
            </w:pPr>
          </w:p>
        </w:tc>
        <w:tc>
          <w:tcPr>
            <w:tcW w:w="488" w:type="dxa"/>
            <w:vMerge w:val="continue"/>
            <w:vAlign w:val="center"/>
          </w:tcPr>
          <w:p>
            <w:pPr>
              <w:spacing w:line="440" w:lineRule="exact"/>
              <w:jc w:val="center"/>
              <w:rPr>
                <w:rFonts w:ascii="Times New Roman" w:hAnsi="Times New Roman"/>
              </w:rPr>
            </w:pPr>
          </w:p>
        </w:tc>
        <w:tc>
          <w:tcPr>
            <w:tcW w:w="1134"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证书名称</w:t>
            </w:r>
          </w:p>
        </w:tc>
        <w:tc>
          <w:tcPr>
            <w:tcW w:w="709"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级别</w:t>
            </w:r>
          </w:p>
        </w:tc>
        <w:tc>
          <w:tcPr>
            <w:tcW w:w="871"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证号</w:t>
            </w: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vAlign w:val="center"/>
          </w:tcPr>
          <w:p>
            <w:pPr>
              <w:spacing w:line="440" w:lineRule="exact"/>
              <w:jc w:val="center"/>
              <w:rPr>
                <w:rFonts w:ascii="Times New Roman" w:hAnsi="Times New Roman"/>
              </w:rPr>
            </w:pPr>
          </w:p>
        </w:tc>
        <w:tc>
          <w:tcPr>
            <w:tcW w:w="603" w:type="dxa"/>
            <w:vAlign w:val="center"/>
          </w:tcPr>
          <w:p>
            <w:pPr>
              <w:spacing w:line="440" w:lineRule="exact"/>
              <w:jc w:val="center"/>
              <w:rPr>
                <w:rFonts w:ascii="Times New Roman" w:hAnsi="Times New Roman"/>
              </w:rPr>
            </w:pPr>
          </w:p>
        </w:tc>
        <w:tc>
          <w:tcPr>
            <w:tcW w:w="488"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c>
          <w:tcPr>
            <w:tcW w:w="709" w:type="dxa"/>
            <w:vAlign w:val="center"/>
          </w:tcPr>
          <w:p>
            <w:pPr>
              <w:spacing w:line="440" w:lineRule="exact"/>
              <w:jc w:val="center"/>
              <w:rPr>
                <w:rFonts w:ascii="Times New Roman" w:hAnsi="Times New Roman"/>
              </w:rPr>
            </w:pPr>
          </w:p>
        </w:tc>
        <w:tc>
          <w:tcPr>
            <w:tcW w:w="871"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bl>
    <w:p>
      <w:pPr>
        <w:spacing w:line="440" w:lineRule="exact"/>
        <w:rPr>
          <w:rFonts w:ascii="Times New Roman" w:hAnsi="Times New Roman"/>
        </w:rPr>
      </w:pPr>
      <w:r>
        <w:rPr>
          <w:rFonts w:ascii="Times New Roman" w:hAnsi="Times New Roman"/>
        </w:rPr>
        <w:br w:type="page"/>
      </w:r>
      <w:bookmarkStart w:id="539" w:name="_Toc152042594"/>
      <w:bookmarkStart w:id="540" w:name="_Toc179632825"/>
      <w:bookmarkStart w:id="541" w:name="_Toc152045805"/>
      <w:bookmarkStart w:id="542" w:name="_Toc144974873"/>
    </w:p>
    <w:p>
      <w:pPr>
        <w:pStyle w:val="4"/>
        <w:ind w:firstLine="137"/>
        <w:rPr>
          <w:rFonts w:ascii="Times New Roman" w:hAnsi="Times New Roman"/>
        </w:rPr>
      </w:pPr>
      <w:bookmarkStart w:id="543" w:name="_Toc385943079"/>
      <w:bookmarkStart w:id="544" w:name="_Toc482188668"/>
      <w:bookmarkStart w:id="545" w:name="_Toc370676440"/>
      <w:bookmarkStart w:id="546" w:name="_Toc384308390"/>
      <w:bookmarkStart w:id="547" w:name="_Toc300835232"/>
      <w:bookmarkStart w:id="548" w:name="_Toc359594249"/>
      <w:bookmarkStart w:id="549" w:name="_Toc391394125"/>
      <w:bookmarkStart w:id="550" w:name="_Toc492300541"/>
      <w:r>
        <w:rPr>
          <w:rFonts w:hint="eastAsia" w:ascii="Times New Roman" w:hAnsi="Times New Roman"/>
        </w:rPr>
        <w:t>（七）主要人员简历表</w:t>
      </w:r>
      <w:bookmarkEnd w:id="539"/>
      <w:bookmarkEnd w:id="540"/>
      <w:bookmarkEnd w:id="541"/>
      <w:bookmarkEnd w:id="542"/>
      <w:bookmarkEnd w:id="543"/>
      <w:bookmarkEnd w:id="544"/>
      <w:bookmarkEnd w:id="545"/>
      <w:bookmarkEnd w:id="546"/>
      <w:bookmarkEnd w:id="547"/>
      <w:bookmarkEnd w:id="548"/>
      <w:bookmarkEnd w:id="549"/>
      <w:bookmarkEnd w:id="550"/>
    </w:p>
    <w:p>
      <w:pPr>
        <w:topLinePunct/>
        <w:spacing w:line="440" w:lineRule="exact"/>
        <w:jc w:val="center"/>
        <w:rPr>
          <w:rFonts w:ascii="Times New Roman" w:hAnsi="Times New Roman"/>
          <w:sz w:val="23"/>
        </w:rPr>
      </w:pPr>
      <w:r>
        <w:rPr>
          <w:rFonts w:hint="eastAsia" w:ascii="Times New Roman" w:hAnsi="Times New Roman"/>
        </w:rPr>
        <w:t xml:space="preserve"> </w:t>
      </w:r>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rPr>
            </w:pPr>
            <w:r>
              <w:rPr>
                <w:rFonts w:hint="eastAsia" w:ascii="Times New Roman" w:hAnsi="Times New Roman"/>
              </w:rPr>
              <w:t>姓</w:t>
            </w:r>
            <w:r>
              <w:rPr>
                <w:rFonts w:ascii="Times New Roman" w:hAnsi="Times New Roman"/>
              </w:rPr>
              <w:t xml:space="preserve">  </w:t>
            </w:r>
            <w:r>
              <w:rPr>
                <w:rFonts w:hint="eastAsia" w:ascii="Times New Roman" w:hAnsi="Times New Roman"/>
              </w:rPr>
              <w:t>名</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line="440" w:lineRule="exact"/>
              <w:jc w:val="center"/>
              <w:rPr>
                <w:rFonts w:ascii="Times New Roman" w:hAnsi="Times New Roman"/>
              </w:rPr>
            </w:pPr>
            <w:r>
              <w:rPr>
                <w:rFonts w:hint="eastAsia" w:ascii="Times New Roman" w:hAnsi="Times New Roman"/>
              </w:rPr>
              <w:t>年龄</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line="440" w:lineRule="exact"/>
              <w:jc w:val="center"/>
              <w:rPr>
                <w:rFonts w:ascii="Times New Roman" w:hAnsi="Times New Roman"/>
              </w:rPr>
            </w:pPr>
            <w:r>
              <w:rPr>
                <w:rFonts w:hint="eastAsia" w:ascii="Times New Roman" w:hAnsi="Times New Roman"/>
              </w:rPr>
              <w:t>执业资格证书（或上岗证书）名称</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rPr>
            </w:pPr>
            <w:r>
              <w:rPr>
                <w:rFonts w:hint="eastAsia" w:ascii="Times New Roman" w:hAnsi="Times New Roman"/>
              </w:rPr>
              <w:t>职</w:t>
            </w:r>
            <w:r>
              <w:rPr>
                <w:rFonts w:ascii="Times New Roman" w:hAnsi="Times New Roman"/>
              </w:rPr>
              <w:t xml:space="preserve">  </w:t>
            </w:r>
            <w:r>
              <w:rPr>
                <w:rFonts w:hint="eastAsia" w:ascii="Times New Roman" w:hAnsi="Times New Roman"/>
              </w:rPr>
              <w:t>称</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学历</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拟在本项目任职</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工作年限</w:t>
            </w:r>
          </w:p>
        </w:tc>
        <w:tc>
          <w:tcPr>
            <w:tcW w:w="3071" w:type="dxa"/>
            <w:gridSpan w:val="4"/>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从事设计工作年限</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rPr>
            </w:pPr>
            <w:r>
              <w:rPr>
                <w:rFonts w:hint="eastAsia" w:ascii="Times New Roman" w:hAnsi="Times New Roman"/>
              </w:rPr>
              <w:t>年毕业于</w:t>
            </w:r>
            <w:r>
              <w:rPr>
                <w:rFonts w:ascii="Times New Roman" w:hAnsi="Times New Roman"/>
              </w:rPr>
              <w:t xml:space="preserve">            </w:t>
            </w:r>
            <w:r>
              <w:rPr>
                <w:rFonts w:hint="eastAsia" w:ascii="Times New Roman" w:hAnsi="Times New Roman"/>
              </w:rPr>
              <w:t>学校</w:t>
            </w:r>
            <w:r>
              <w:rPr>
                <w:rFonts w:ascii="Times New Roman" w:hAnsi="Times New Roman"/>
              </w:rPr>
              <w:t xml:space="preserve">        </w:t>
            </w:r>
            <w:r>
              <w:rPr>
                <w:rFonts w:hint="eastAsia" w:ascii="Times New Roman" w:hAnsi="Times New Roma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rPr>
            </w:pPr>
            <w:r>
              <w:rPr>
                <w:rFonts w:hint="eastAsia" w:ascii="Times New Roman" w:hAnsi="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时</w:t>
            </w:r>
            <w:r>
              <w:rPr>
                <w:rFonts w:ascii="Times New Roman" w:hAnsi="Times New Roman"/>
              </w:rPr>
              <w:t xml:space="preserve">  </w:t>
            </w:r>
            <w:r>
              <w:rPr>
                <w:rFonts w:hint="eastAsia" w:ascii="Times New Roman" w:hAnsi="Times New Roman"/>
              </w:rPr>
              <w:t>间</w:t>
            </w:r>
          </w:p>
        </w:tc>
        <w:tc>
          <w:tcPr>
            <w:tcW w:w="3420" w:type="dxa"/>
            <w:gridSpan w:val="4"/>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参加过的类似项目</w:t>
            </w:r>
          </w:p>
        </w:tc>
        <w:tc>
          <w:tcPr>
            <w:tcW w:w="1261"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担任职务</w:t>
            </w:r>
          </w:p>
        </w:tc>
        <w:tc>
          <w:tcPr>
            <w:tcW w:w="2297" w:type="dxa"/>
            <w:gridSpan w:val="2"/>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w:t>
      </w:r>
      <w:r>
        <w:rPr>
          <w:rFonts w:hint="eastAsia" w:ascii="Times New Roman" w:hAnsi="Times New Roman"/>
          <w:color w:val="000000"/>
        </w:rPr>
        <w:t>6</w:t>
      </w:r>
      <w:r>
        <w:rPr>
          <w:rFonts w:ascii="Times New Roman" w:hAnsi="Times New Roman"/>
          <w:color w:val="000000"/>
        </w:rPr>
        <w:t>项的要求在本表后附相关证明材料。</w:t>
      </w:r>
    </w:p>
    <w:p>
      <w:pPr>
        <w:spacing w:line="440" w:lineRule="exact"/>
        <w:rPr>
          <w:rFonts w:ascii="Times New Roman" w:hAnsi="Times New Roman"/>
        </w:rPr>
      </w:pPr>
      <w:r>
        <w:rPr>
          <w:rFonts w:ascii="Times New Roman" w:hAnsi="Times New Roman"/>
        </w:rPr>
        <w:br w:type="page"/>
      </w:r>
      <w:bookmarkStart w:id="551" w:name="_Toc300835229"/>
      <w:bookmarkStart w:id="552" w:name="_Toc352703741"/>
    </w:p>
    <w:bookmarkEnd w:id="551"/>
    <w:bookmarkEnd w:id="552"/>
    <w:p>
      <w:pPr>
        <w:pStyle w:val="3"/>
        <w:spacing w:after="0"/>
        <w:jc w:val="center"/>
        <w:rPr>
          <w:rFonts w:ascii="Times New Roman" w:hAnsi="Times New Roman"/>
          <w:color w:val="000000"/>
        </w:rPr>
      </w:pPr>
      <w:bookmarkStart w:id="553" w:name="_Toc492300542"/>
      <w:r>
        <w:rPr>
          <w:rFonts w:ascii="Times New Roman" w:hAnsi="Times New Roman"/>
          <w:color w:val="000000"/>
        </w:rPr>
        <w:t>七、设计方案</w:t>
      </w:r>
      <w:bookmarkEnd w:id="553"/>
    </w:p>
    <w:p>
      <w:pPr>
        <w:spacing w:line="360" w:lineRule="auto"/>
        <w:ind w:firstLine="474" w:firstLineChars="226"/>
        <w:rPr>
          <w:rFonts w:ascii="Times New Roman" w:hAnsi="Times New Roman"/>
          <w:szCs w:val="21"/>
        </w:rPr>
      </w:pPr>
      <w:r>
        <w:rPr>
          <w:rFonts w:hint="eastAsia" w:ascii="Times New Roman" w:hAnsi="Times New Roman"/>
          <w:szCs w:val="21"/>
        </w:rPr>
        <w:t>设计方案应包括（但不限于）下列内容：</w:t>
      </w:r>
    </w:p>
    <w:p>
      <w:pPr>
        <w:spacing w:line="360" w:lineRule="auto"/>
        <w:ind w:firstLine="474" w:firstLineChars="226"/>
        <w:rPr>
          <w:rFonts w:ascii="Times New Roman" w:hAnsi="Times New Roman"/>
          <w:szCs w:val="21"/>
        </w:rPr>
      </w:pPr>
      <w:r>
        <w:rPr>
          <w:rFonts w:hint="eastAsia" w:ascii="Times New Roman" w:hAnsi="Times New Roman"/>
          <w:szCs w:val="21"/>
        </w:rPr>
        <w:t>一、设计工程概况；</w:t>
      </w:r>
    </w:p>
    <w:p>
      <w:pPr>
        <w:spacing w:line="360" w:lineRule="auto"/>
        <w:ind w:firstLine="474" w:firstLineChars="226"/>
        <w:rPr>
          <w:rFonts w:ascii="Times New Roman" w:hAnsi="Times New Roman"/>
          <w:szCs w:val="21"/>
        </w:rPr>
      </w:pPr>
      <w:r>
        <w:rPr>
          <w:rFonts w:hint="eastAsia" w:ascii="Times New Roman" w:hAnsi="Times New Roman"/>
          <w:szCs w:val="21"/>
        </w:rPr>
        <w:t>二、设计范围、设计内容；</w:t>
      </w:r>
    </w:p>
    <w:p>
      <w:pPr>
        <w:spacing w:line="360" w:lineRule="auto"/>
        <w:ind w:firstLine="474" w:firstLineChars="226"/>
        <w:rPr>
          <w:rFonts w:ascii="Times New Roman" w:hAnsi="Times New Roman"/>
          <w:szCs w:val="21"/>
        </w:rPr>
      </w:pPr>
      <w:r>
        <w:rPr>
          <w:rFonts w:hint="eastAsia" w:ascii="Times New Roman" w:hAnsi="Times New Roman"/>
          <w:szCs w:val="21"/>
        </w:rPr>
        <w:t>三、设计依据、</w:t>
      </w:r>
      <w:r>
        <w:rPr>
          <w:rFonts w:hint="eastAsia" w:ascii="Times New Roman" w:hAnsi="Times New Roman"/>
        </w:rPr>
        <w:t>设计工作目标</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四、设计机构设置（框图）、岗位职责；</w:t>
      </w:r>
    </w:p>
    <w:p>
      <w:pPr>
        <w:spacing w:line="360" w:lineRule="auto"/>
        <w:ind w:firstLine="474" w:firstLineChars="226"/>
        <w:rPr>
          <w:rFonts w:ascii="Times New Roman" w:hAnsi="Times New Roman"/>
          <w:szCs w:val="21"/>
        </w:rPr>
      </w:pPr>
      <w:r>
        <w:rPr>
          <w:rFonts w:hint="eastAsia" w:ascii="Times New Roman" w:hAnsi="Times New Roman"/>
          <w:szCs w:val="21"/>
        </w:rPr>
        <w:t>五、设计说明和设计方案；</w:t>
      </w:r>
    </w:p>
    <w:p>
      <w:pPr>
        <w:spacing w:line="360" w:lineRule="auto"/>
        <w:ind w:firstLine="474" w:firstLineChars="226"/>
        <w:rPr>
          <w:rFonts w:ascii="Times New Roman" w:hAnsi="Times New Roman"/>
          <w:szCs w:val="21"/>
        </w:rPr>
      </w:pPr>
      <w:r>
        <w:rPr>
          <w:rFonts w:hint="eastAsia" w:ascii="Times New Roman" w:hAnsi="Times New Roman"/>
          <w:szCs w:val="21"/>
        </w:rPr>
        <w:t>六、拟投入的设计人员；</w:t>
      </w:r>
    </w:p>
    <w:p>
      <w:pPr>
        <w:spacing w:line="360" w:lineRule="auto"/>
        <w:ind w:firstLine="474" w:firstLineChars="226"/>
        <w:rPr>
          <w:rFonts w:ascii="Times New Roman" w:hAnsi="Times New Roman"/>
          <w:szCs w:val="21"/>
        </w:rPr>
      </w:pPr>
      <w:r>
        <w:rPr>
          <w:rFonts w:hint="eastAsia" w:ascii="Times New Roman" w:hAnsi="Times New Roman"/>
          <w:szCs w:val="21"/>
        </w:rPr>
        <w:t>七、设计质量、进度、保密等保证措施；</w:t>
      </w:r>
      <w:r>
        <w:rPr>
          <w:rFonts w:ascii="Times New Roman" w:hAnsi="Times New Roman"/>
          <w:szCs w:val="21"/>
        </w:rPr>
        <w:t xml:space="preserve"> </w:t>
      </w:r>
    </w:p>
    <w:p>
      <w:pPr>
        <w:spacing w:line="360" w:lineRule="auto"/>
        <w:ind w:firstLine="474" w:firstLineChars="226"/>
        <w:rPr>
          <w:rFonts w:ascii="Times New Roman" w:hAnsi="Times New Roman"/>
          <w:szCs w:val="21"/>
        </w:rPr>
      </w:pPr>
      <w:r>
        <w:rPr>
          <w:rFonts w:hint="eastAsia" w:ascii="Times New Roman" w:hAnsi="Times New Roman"/>
          <w:szCs w:val="21"/>
        </w:rPr>
        <w:t>八、设计安全保证措施；</w:t>
      </w:r>
    </w:p>
    <w:p>
      <w:pPr>
        <w:spacing w:line="360" w:lineRule="auto"/>
        <w:ind w:firstLine="474" w:firstLineChars="226"/>
        <w:rPr>
          <w:rFonts w:ascii="Times New Roman" w:hAnsi="Times New Roman"/>
          <w:szCs w:val="21"/>
        </w:rPr>
      </w:pPr>
      <w:r>
        <w:rPr>
          <w:rFonts w:hint="eastAsia" w:ascii="Times New Roman" w:hAnsi="Times New Roman"/>
          <w:szCs w:val="21"/>
        </w:rPr>
        <w:t>九、设计工作重点、难点分析；</w:t>
      </w:r>
    </w:p>
    <w:p>
      <w:pPr>
        <w:spacing w:line="360" w:lineRule="auto"/>
        <w:ind w:firstLine="474" w:firstLineChars="226"/>
        <w:rPr>
          <w:rFonts w:ascii="Times New Roman" w:hAnsi="Times New Roman"/>
        </w:rPr>
      </w:pPr>
      <w:r>
        <w:rPr>
          <w:rFonts w:hint="eastAsia" w:ascii="Times New Roman" w:hAnsi="Times New Roman"/>
          <w:szCs w:val="21"/>
        </w:rPr>
        <w:t>十、对本工程设计的合理化建议。</w:t>
      </w:r>
    </w:p>
    <w:p>
      <w:pPr>
        <w:rPr>
          <w:rFonts w:ascii="Times New Roman" w:hAnsi="Times New Roman"/>
        </w:rPr>
      </w:pPr>
    </w:p>
    <w:p>
      <w:pPr>
        <w:pStyle w:val="3"/>
        <w:spacing w:line="400" w:lineRule="exact"/>
        <w:jc w:val="both"/>
        <w:rPr>
          <w:rFonts w:ascii="Times New Roman" w:hAnsi="Times New Roman"/>
        </w:rPr>
      </w:pPr>
    </w:p>
    <w:sectPr>
      <w:footerReference r:id="rId3" w:type="default"/>
      <w:type w:val="continuous"/>
      <w:pgSz w:w="12240" w:h="15840"/>
      <w:pgMar w:top="1440" w:right="1800" w:bottom="1440" w:left="1800" w:header="720" w:footer="720" w:gutter="0"/>
      <w:pgBorders>
        <w:top w:val="none" w:sz="0" w:space="0"/>
        <w:left w:val="none" w:sz="0" w:space="0"/>
        <w:bottom w:val="none" w:sz="0" w:space="0"/>
        <w:right w:val="none" w:sz="0" w:space="0"/>
      </w:pgBorders>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fldChar w:fldCharType="begin"/>
    </w:r>
    <w:r>
      <w:instrText xml:space="preserve"> PAGE   \* MERGEFORMAT </w:instrText>
    </w:r>
    <w:r>
      <w:fldChar w:fldCharType="separate"/>
    </w:r>
    <w:r>
      <w:rPr>
        <w:lang w:val="zh-CN"/>
      </w:rPr>
      <w:t>31</w:t>
    </w:r>
    <w:r>
      <w:rPr>
        <w:lang w:val="zh-CN"/>
      </w:rPr>
      <w:fldChar w:fldCharType="end"/>
    </w:r>
  </w:p>
  <w:p>
    <w:pPr>
      <w:pStyle w:val="2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405DA3"/>
    <w:multiLevelType w:val="multilevel"/>
    <w:tmpl w:val="28405DA3"/>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3E93508A"/>
    <w:multiLevelType w:val="multilevel"/>
    <w:tmpl w:val="3E93508A"/>
    <w:lvl w:ilvl="0" w:tentative="0">
      <w:start w:val="1"/>
      <w:numFmt w:val="bullet"/>
      <w:lvlText w:val=""/>
      <w:lvlJc w:val="left"/>
      <w:pPr>
        <w:ind w:left="845" w:hanging="420"/>
      </w:pPr>
      <w:rPr>
        <w:rFonts w:hint="default" w:ascii="Wingdings" w:hAnsi="Wingdings"/>
      </w:rPr>
    </w:lvl>
    <w:lvl w:ilvl="1" w:tentative="0">
      <w:start w:val="1"/>
      <w:numFmt w:val="bullet"/>
      <w:lvlText w:val=""/>
      <w:lvlJc w:val="left"/>
      <w:pPr>
        <w:ind w:left="1265" w:hanging="420"/>
      </w:pPr>
      <w:rPr>
        <w:rFonts w:hint="default" w:ascii="Wingdings" w:hAnsi="Wingdings"/>
      </w:rPr>
    </w:lvl>
    <w:lvl w:ilvl="2" w:tentative="0">
      <w:start w:val="1"/>
      <w:numFmt w:val="bullet"/>
      <w:lvlText w:val=""/>
      <w:lvlJc w:val="left"/>
      <w:pPr>
        <w:ind w:left="1685" w:hanging="420"/>
      </w:pPr>
      <w:rPr>
        <w:rFonts w:hint="default" w:ascii="Wingdings" w:hAnsi="Wingdings"/>
      </w:rPr>
    </w:lvl>
    <w:lvl w:ilvl="3" w:tentative="0">
      <w:start w:val="1"/>
      <w:numFmt w:val="bullet"/>
      <w:lvlText w:val=""/>
      <w:lvlJc w:val="left"/>
      <w:pPr>
        <w:ind w:left="2105" w:hanging="420"/>
      </w:pPr>
      <w:rPr>
        <w:rFonts w:hint="default" w:ascii="Wingdings" w:hAnsi="Wingdings"/>
      </w:rPr>
    </w:lvl>
    <w:lvl w:ilvl="4" w:tentative="0">
      <w:start w:val="1"/>
      <w:numFmt w:val="bullet"/>
      <w:lvlText w:val=""/>
      <w:lvlJc w:val="left"/>
      <w:pPr>
        <w:ind w:left="2525" w:hanging="420"/>
      </w:pPr>
      <w:rPr>
        <w:rFonts w:hint="default" w:ascii="Wingdings" w:hAnsi="Wingdings"/>
      </w:rPr>
    </w:lvl>
    <w:lvl w:ilvl="5" w:tentative="0">
      <w:start w:val="1"/>
      <w:numFmt w:val="bullet"/>
      <w:lvlText w:val=""/>
      <w:lvlJc w:val="left"/>
      <w:pPr>
        <w:ind w:left="2945" w:hanging="420"/>
      </w:pPr>
      <w:rPr>
        <w:rFonts w:hint="default" w:ascii="Wingdings" w:hAnsi="Wingdings"/>
      </w:rPr>
    </w:lvl>
    <w:lvl w:ilvl="6" w:tentative="0">
      <w:start w:val="1"/>
      <w:numFmt w:val="bullet"/>
      <w:lvlText w:val=""/>
      <w:lvlJc w:val="left"/>
      <w:pPr>
        <w:ind w:left="3365" w:hanging="420"/>
      </w:pPr>
      <w:rPr>
        <w:rFonts w:hint="default" w:ascii="Wingdings" w:hAnsi="Wingdings"/>
      </w:rPr>
    </w:lvl>
    <w:lvl w:ilvl="7" w:tentative="0">
      <w:start w:val="1"/>
      <w:numFmt w:val="bullet"/>
      <w:lvlText w:val=""/>
      <w:lvlJc w:val="left"/>
      <w:pPr>
        <w:ind w:left="3785" w:hanging="420"/>
      </w:pPr>
      <w:rPr>
        <w:rFonts w:hint="default" w:ascii="Wingdings" w:hAnsi="Wingdings"/>
      </w:rPr>
    </w:lvl>
    <w:lvl w:ilvl="8" w:tentative="0">
      <w:start w:val="1"/>
      <w:numFmt w:val="bullet"/>
      <w:lvlText w:val=""/>
      <w:lvlJc w:val="left"/>
      <w:pPr>
        <w:ind w:left="4205" w:hanging="420"/>
      </w:pPr>
      <w:rPr>
        <w:rFonts w:hint="default" w:ascii="Wingdings" w:hAnsi="Wingdings"/>
      </w:rPr>
    </w:lvl>
  </w:abstractNum>
  <w:abstractNum w:abstractNumId="2">
    <w:nsid w:val="5CB31421"/>
    <w:multiLevelType w:val="multilevel"/>
    <w:tmpl w:val="5CB31421"/>
    <w:lvl w:ilvl="0" w:tentative="0">
      <w:start w:val="1"/>
      <w:numFmt w:val="chineseCountingThousand"/>
      <w:pStyle w:val="2"/>
      <w:lvlText w:val="第%1章"/>
      <w:lvlJc w:val="left"/>
      <w:pPr>
        <w:ind w:left="0" w:firstLine="0"/>
      </w:pPr>
      <w:rPr>
        <w:rFonts w:hint="eastAsia"/>
        <w:lang w:val="en-US"/>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2A60"/>
    <w:rsid w:val="00004603"/>
    <w:rsid w:val="00007319"/>
    <w:rsid w:val="000106AE"/>
    <w:rsid w:val="00012703"/>
    <w:rsid w:val="0001485E"/>
    <w:rsid w:val="00020140"/>
    <w:rsid w:val="00021BFE"/>
    <w:rsid w:val="000250D6"/>
    <w:rsid w:val="00025980"/>
    <w:rsid w:val="00025ACC"/>
    <w:rsid w:val="00026171"/>
    <w:rsid w:val="000316F2"/>
    <w:rsid w:val="00032762"/>
    <w:rsid w:val="00034067"/>
    <w:rsid w:val="000351AE"/>
    <w:rsid w:val="00036642"/>
    <w:rsid w:val="00043778"/>
    <w:rsid w:val="0005229A"/>
    <w:rsid w:val="00055BAD"/>
    <w:rsid w:val="00062AC6"/>
    <w:rsid w:val="00065A9E"/>
    <w:rsid w:val="00065C25"/>
    <w:rsid w:val="000668F1"/>
    <w:rsid w:val="00067035"/>
    <w:rsid w:val="000752F3"/>
    <w:rsid w:val="00080B8D"/>
    <w:rsid w:val="0008132B"/>
    <w:rsid w:val="00081360"/>
    <w:rsid w:val="0008253E"/>
    <w:rsid w:val="00084830"/>
    <w:rsid w:val="00087558"/>
    <w:rsid w:val="0009240C"/>
    <w:rsid w:val="000943B0"/>
    <w:rsid w:val="00094C66"/>
    <w:rsid w:val="000A1AB2"/>
    <w:rsid w:val="000A287B"/>
    <w:rsid w:val="000A5C81"/>
    <w:rsid w:val="000A76B3"/>
    <w:rsid w:val="000B65E2"/>
    <w:rsid w:val="000B676B"/>
    <w:rsid w:val="000C0018"/>
    <w:rsid w:val="000C1A9B"/>
    <w:rsid w:val="000C2AB5"/>
    <w:rsid w:val="000C4323"/>
    <w:rsid w:val="000C45BF"/>
    <w:rsid w:val="000C4710"/>
    <w:rsid w:val="000D4336"/>
    <w:rsid w:val="000D49B4"/>
    <w:rsid w:val="000E08CB"/>
    <w:rsid w:val="000E3DA3"/>
    <w:rsid w:val="000E5673"/>
    <w:rsid w:val="000E7256"/>
    <w:rsid w:val="000F2186"/>
    <w:rsid w:val="000F2A12"/>
    <w:rsid w:val="000F2ECC"/>
    <w:rsid w:val="000F3757"/>
    <w:rsid w:val="000F7A0C"/>
    <w:rsid w:val="001011FC"/>
    <w:rsid w:val="00102618"/>
    <w:rsid w:val="00102F0B"/>
    <w:rsid w:val="00105423"/>
    <w:rsid w:val="001119B6"/>
    <w:rsid w:val="00111BC8"/>
    <w:rsid w:val="00115124"/>
    <w:rsid w:val="00117A4F"/>
    <w:rsid w:val="00117F0F"/>
    <w:rsid w:val="00120A52"/>
    <w:rsid w:val="00124337"/>
    <w:rsid w:val="0012552C"/>
    <w:rsid w:val="001373A8"/>
    <w:rsid w:val="0014098E"/>
    <w:rsid w:val="00141621"/>
    <w:rsid w:val="001530C6"/>
    <w:rsid w:val="00163567"/>
    <w:rsid w:val="00170389"/>
    <w:rsid w:val="00172327"/>
    <w:rsid w:val="00172A27"/>
    <w:rsid w:val="001735B4"/>
    <w:rsid w:val="001748A3"/>
    <w:rsid w:val="00182B11"/>
    <w:rsid w:val="00183AEA"/>
    <w:rsid w:val="00183B4A"/>
    <w:rsid w:val="00186361"/>
    <w:rsid w:val="00187146"/>
    <w:rsid w:val="00193C1D"/>
    <w:rsid w:val="001A093D"/>
    <w:rsid w:val="001A0C52"/>
    <w:rsid w:val="001A0CCF"/>
    <w:rsid w:val="001A2E05"/>
    <w:rsid w:val="001A4491"/>
    <w:rsid w:val="001A4684"/>
    <w:rsid w:val="001A7116"/>
    <w:rsid w:val="001B1289"/>
    <w:rsid w:val="001B5478"/>
    <w:rsid w:val="001B7FEF"/>
    <w:rsid w:val="001C133B"/>
    <w:rsid w:val="001C30C7"/>
    <w:rsid w:val="001C3C48"/>
    <w:rsid w:val="001D033C"/>
    <w:rsid w:val="001D30B6"/>
    <w:rsid w:val="001D3BE0"/>
    <w:rsid w:val="001E1433"/>
    <w:rsid w:val="001F1B9C"/>
    <w:rsid w:val="001F2208"/>
    <w:rsid w:val="001F260F"/>
    <w:rsid w:val="001F285E"/>
    <w:rsid w:val="001F2D26"/>
    <w:rsid w:val="001F4134"/>
    <w:rsid w:val="001F45EE"/>
    <w:rsid w:val="001F4850"/>
    <w:rsid w:val="00204444"/>
    <w:rsid w:val="00204A5C"/>
    <w:rsid w:val="002063D8"/>
    <w:rsid w:val="00207A0B"/>
    <w:rsid w:val="00212A53"/>
    <w:rsid w:val="0021322F"/>
    <w:rsid w:val="00213B90"/>
    <w:rsid w:val="00214661"/>
    <w:rsid w:val="00215412"/>
    <w:rsid w:val="00215AF0"/>
    <w:rsid w:val="002229E2"/>
    <w:rsid w:val="0022434B"/>
    <w:rsid w:val="00233ADF"/>
    <w:rsid w:val="0023423F"/>
    <w:rsid w:val="00237B0E"/>
    <w:rsid w:val="002430C2"/>
    <w:rsid w:val="00244E70"/>
    <w:rsid w:val="00250CB7"/>
    <w:rsid w:val="0025135E"/>
    <w:rsid w:val="00251A49"/>
    <w:rsid w:val="002521B3"/>
    <w:rsid w:val="00253B41"/>
    <w:rsid w:val="0025460A"/>
    <w:rsid w:val="00255D0D"/>
    <w:rsid w:val="00260C77"/>
    <w:rsid w:val="00261352"/>
    <w:rsid w:val="00263F0B"/>
    <w:rsid w:val="0026441A"/>
    <w:rsid w:val="00264EB1"/>
    <w:rsid w:val="00276C71"/>
    <w:rsid w:val="00281526"/>
    <w:rsid w:val="00285406"/>
    <w:rsid w:val="002875E7"/>
    <w:rsid w:val="002A0C76"/>
    <w:rsid w:val="002A552C"/>
    <w:rsid w:val="002A65ED"/>
    <w:rsid w:val="002A74F3"/>
    <w:rsid w:val="002B2B5B"/>
    <w:rsid w:val="002C0C29"/>
    <w:rsid w:val="002C31DD"/>
    <w:rsid w:val="002C3CD8"/>
    <w:rsid w:val="002C7B9B"/>
    <w:rsid w:val="002D2B90"/>
    <w:rsid w:val="002D6F32"/>
    <w:rsid w:val="002D7B78"/>
    <w:rsid w:val="002E1C97"/>
    <w:rsid w:val="002E1DAC"/>
    <w:rsid w:val="002E6D05"/>
    <w:rsid w:val="002F077E"/>
    <w:rsid w:val="002F1231"/>
    <w:rsid w:val="002F202C"/>
    <w:rsid w:val="002F72A0"/>
    <w:rsid w:val="00310A68"/>
    <w:rsid w:val="00311324"/>
    <w:rsid w:val="003122C4"/>
    <w:rsid w:val="0032031D"/>
    <w:rsid w:val="003214BA"/>
    <w:rsid w:val="00321647"/>
    <w:rsid w:val="00321989"/>
    <w:rsid w:val="003243EC"/>
    <w:rsid w:val="003247CD"/>
    <w:rsid w:val="003279BD"/>
    <w:rsid w:val="003362AD"/>
    <w:rsid w:val="00342688"/>
    <w:rsid w:val="0034440E"/>
    <w:rsid w:val="00344FE2"/>
    <w:rsid w:val="00347899"/>
    <w:rsid w:val="003518D6"/>
    <w:rsid w:val="00354B7A"/>
    <w:rsid w:val="003609F9"/>
    <w:rsid w:val="00363966"/>
    <w:rsid w:val="00364943"/>
    <w:rsid w:val="003701CE"/>
    <w:rsid w:val="003741B0"/>
    <w:rsid w:val="00375481"/>
    <w:rsid w:val="003766FB"/>
    <w:rsid w:val="0038240C"/>
    <w:rsid w:val="0038359A"/>
    <w:rsid w:val="0038499D"/>
    <w:rsid w:val="00386AA0"/>
    <w:rsid w:val="00387996"/>
    <w:rsid w:val="00391F03"/>
    <w:rsid w:val="0039407B"/>
    <w:rsid w:val="003A2368"/>
    <w:rsid w:val="003A593E"/>
    <w:rsid w:val="003A6775"/>
    <w:rsid w:val="003B02F9"/>
    <w:rsid w:val="003B1B15"/>
    <w:rsid w:val="003B2287"/>
    <w:rsid w:val="003B675B"/>
    <w:rsid w:val="003C083C"/>
    <w:rsid w:val="003C0D7D"/>
    <w:rsid w:val="003C3B81"/>
    <w:rsid w:val="003C4858"/>
    <w:rsid w:val="003C5BB3"/>
    <w:rsid w:val="003D1170"/>
    <w:rsid w:val="003D1B8E"/>
    <w:rsid w:val="003D2D72"/>
    <w:rsid w:val="003D36EE"/>
    <w:rsid w:val="003D402C"/>
    <w:rsid w:val="003D6E0A"/>
    <w:rsid w:val="003E2C4E"/>
    <w:rsid w:val="003E56F5"/>
    <w:rsid w:val="003F3518"/>
    <w:rsid w:val="003F504F"/>
    <w:rsid w:val="003F5B69"/>
    <w:rsid w:val="004105EF"/>
    <w:rsid w:val="00415A1A"/>
    <w:rsid w:val="0042326A"/>
    <w:rsid w:val="00423F96"/>
    <w:rsid w:val="00427C4D"/>
    <w:rsid w:val="00431F4F"/>
    <w:rsid w:val="00432518"/>
    <w:rsid w:val="0043351E"/>
    <w:rsid w:val="00433676"/>
    <w:rsid w:val="00436504"/>
    <w:rsid w:val="004405C7"/>
    <w:rsid w:val="00441D39"/>
    <w:rsid w:val="00442AF8"/>
    <w:rsid w:val="00442B41"/>
    <w:rsid w:val="0044514A"/>
    <w:rsid w:val="00447E59"/>
    <w:rsid w:val="00457DC2"/>
    <w:rsid w:val="00463001"/>
    <w:rsid w:val="00466339"/>
    <w:rsid w:val="004733D3"/>
    <w:rsid w:val="00473880"/>
    <w:rsid w:val="00476673"/>
    <w:rsid w:val="00476828"/>
    <w:rsid w:val="00487315"/>
    <w:rsid w:val="00490E43"/>
    <w:rsid w:val="00490F92"/>
    <w:rsid w:val="00494530"/>
    <w:rsid w:val="00494624"/>
    <w:rsid w:val="00495001"/>
    <w:rsid w:val="004A112E"/>
    <w:rsid w:val="004A76F2"/>
    <w:rsid w:val="004B51E3"/>
    <w:rsid w:val="004B6ED7"/>
    <w:rsid w:val="004D1209"/>
    <w:rsid w:val="004D1ADB"/>
    <w:rsid w:val="004D3DEA"/>
    <w:rsid w:val="004D422A"/>
    <w:rsid w:val="004D4247"/>
    <w:rsid w:val="004D7237"/>
    <w:rsid w:val="004D794D"/>
    <w:rsid w:val="004D7FCB"/>
    <w:rsid w:val="004E0C05"/>
    <w:rsid w:val="004E3473"/>
    <w:rsid w:val="004E5FCD"/>
    <w:rsid w:val="004F0052"/>
    <w:rsid w:val="004F1425"/>
    <w:rsid w:val="004F2BD3"/>
    <w:rsid w:val="004F3309"/>
    <w:rsid w:val="005034E3"/>
    <w:rsid w:val="00503D63"/>
    <w:rsid w:val="00506A2D"/>
    <w:rsid w:val="0050739A"/>
    <w:rsid w:val="005100DC"/>
    <w:rsid w:val="00511660"/>
    <w:rsid w:val="0051272A"/>
    <w:rsid w:val="00512A0D"/>
    <w:rsid w:val="00517CCE"/>
    <w:rsid w:val="005229A0"/>
    <w:rsid w:val="00522D50"/>
    <w:rsid w:val="00527D92"/>
    <w:rsid w:val="00531BAF"/>
    <w:rsid w:val="00533F95"/>
    <w:rsid w:val="00537781"/>
    <w:rsid w:val="005409DB"/>
    <w:rsid w:val="005410AB"/>
    <w:rsid w:val="00542C62"/>
    <w:rsid w:val="0054326D"/>
    <w:rsid w:val="00543F5F"/>
    <w:rsid w:val="00545698"/>
    <w:rsid w:val="00546149"/>
    <w:rsid w:val="005510C3"/>
    <w:rsid w:val="00555089"/>
    <w:rsid w:val="005565F1"/>
    <w:rsid w:val="00562259"/>
    <w:rsid w:val="005655BD"/>
    <w:rsid w:val="00572ADB"/>
    <w:rsid w:val="00573B46"/>
    <w:rsid w:val="00573C8F"/>
    <w:rsid w:val="00576C5E"/>
    <w:rsid w:val="00577C17"/>
    <w:rsid w:val="00580957"/>
    <w:rsid w:val="005810CA"/>
    <w:rsid w:val="005824FB"/>
    <w:rsid w:val="005827A7"/>
    <w:rsid w:val="00585B39"/>
    <w:rsid w:val="00586041"/>
    <w:rsid w:val="00586955"/>
    <w:rsid w:val="0059030C"/>
    <w:rsid w:val="00592372"/>
    <w:rsid w:val="005955BA"/>
    <w:rsid w:val="005A0B59"/>
    <w:rsid w:val="005A245A"/>
    <w:rsid w:val="005A2AF9"/>
    <w:rsid w:val="005A2C7B"/>
    <w:rsid w:val="005A328C"/>
    <w:rsid w:val="005A4B80"/>
    <w:rsid w:val="005A5F20"/>
    <w:rsid w:val="005A697C"/>
    <w:rsid w:val="005B0F9A"/>
    <w:rsid w:val="005B1A42"/>
    <w:rsid w:val="005B46BD"/>
    <w:rsid w:val="005B4DB1"/>
    <w:rsid w:val="005B6D33"/>
    <w:rsid w:val="005C162E"/>
    <w:rsid w:val="005C1B19"/>
    <w:rsid w:val="005C417A"/>
    <w:rsid w:val="005C7507"/>
    <w:rsid w:val="005D22FC"/>
    <w:rsid w:val="005D3D41"/>
    <w:rsid w:val="005D736F"/>
    <w:rsid w:val="005E4F70"/>
    <w:rsid w:val="005E7CE8"/>
    <w:rsid w:val="005F162E"/>
    <w:rsid w:val="005F16C3"/>
    <w:rsid w:val="005F328B"/>
    <w:rsid w:val="005F74F3"/>
    <w:rsid w:val="0060161F"/>
    <w:rsid w:val="006038CA"/>
    <w:rsid w:val="00605A28"/>
    <w:rsid w:val="0061205F"/>
    <w:rsid w:val="00614E98"/>
    <w:rsid w:val="00621D6C"/>
    <w:rsid w:val="0062261D"/>
    <w:rsid w:val="0062295C"/>
    <w:rsid w:val="00623AD2"/>
    <w:rsid w:val="0062437A"/>
    <w:rsid w:val="00632467"/>
    <w:rsid w:val="00632B51"/>
    <w:rsid w:val="00633021"/>
    <w:rsid w:val="00636962"/>
    <w:rsid w:val="00636B86"/>
    <w:rsid w:val="00644C71"/>
    <w:rsid w:val="006462FA"/>
    <w:rsid w:val="00653BCA"/>
    <w:rsid w:val="00660EBB"/>
    <w:rsid w:val="00663BF4"/>
    <w:rsid w:val="00663CC5"/>
    <w:rsid w:val="00670660"/>
    <w:rsid w:val="00680AC7"/>
    <w:rsid w:val="00684D69"/>
    <w:rsid w:val="006867B4"/>
    <w:rsid w:val="00686AF3"/>
    <w:rsid w:val="006928F3"/>
    <w:rsid w:val="006952F5"/>
    <w:rsid w:val="00696FBE"/>
    <w:rsid w:val="006A1B2F"/>
    <w:rsid w:val="006A350C"/>
    <w:rsid w:val="006A5596"/>
    <w:rsid w:val="006B4620"/>
    <w:rsid w:val="006B6E3B"/>
    <w:rsid w:val="006C102A"/>
    <w:rsid w:val="006C1B42"/>
    <w:rsid w:val="006C56C9"/>
    <w:rsid w:val="006D144F"/>
    <w:rsid w:val="006D2431"/>
    <w:rsid w:val="006D567B"/>
    <w:rsid w:val="006D72C7"/>
    <w:rsid w:val="006D72CF"/>
    <w:rsid w:val="006D7C98"/>
    <w:rsid w:val="006E01B4"/>
    <w:rsid w:val="006E04C8"/>
    <w:rsid w:val="006E0B76"/>
    <w:rsid w:val="006E1CF0"/>
    <w:rsid w:val="006E2EB3"/>
    <w:rsid w:val="006E3EAB"/>
    <w:rsid w:val="006E521B"/>
    <w:rsid w:val="006E798E"/>
    <w:rsid w:val="006F30B4"/>
    <w:rsid w:val="006F3A43"/>
    <w:rsid w:val="006F3F8C"/>
    <w:rsid w:val="006F46C3"/>
    <w:rsid w:val="006F5383"/>
    <w:rsid w:val="006F6E12"/>
    <w:rsid w:val="006F713A"/>
    <w:rsid w:val="007009AA"/>
    <w:rsid w:val="00701A84"/>
    <w:rsid w:val="007026E3"/>
    <w:rsid w:val="007036C3"/>
    <w:rsid w:val="00705859"/>
    <w:rsid w:val="00706041"/>
    <w:rsid w:val="00710CAF"/>
    <w:rsid w:val="007123AF"/>
    <w:rsid w:val="00712A96"/>
    <w:rsid w:val="007169EC"/>
    <w:rsid w:val="00721056"/>
    <w:rsid w:val="00722501"/>
    <w:rsid w:val="00725C94"/>
    <w:rsid w:val="00726A6C"/>
    <w:rsid w:val="00726B23"/>
    <w:rsid w:val="00726DB7"/>
    <w:rsid w:val="00727E29"/>
    <w:rsid w:val="00733083"/>
    <w:rsid w:val="00741FC2"/>
    <w:rsid w:val="00742B21"/>
    <w:rsid w:val="00744517"/>
    <w:rsid w:val="00747254"/>
    <w:rsid w:val="00750137"/>
    <w:rsid w:val="0075115C"/>
    <w:rsid w:val="007525B7"/>
    <w:rsid w:val="00752BB4"/>
    <w:rsid w:val="00755157"/>
    <w:rsid w:val="00766147"/>
    <w:rsid w:val="00766DD4"/>
    <w:rsid w:val="00770518"/>
    <w:rsid w:val="007724D2"/>
    <w:rsid w:val="00772E30"/>
    <w:rsid w:val="007769FC"/>
    <w:rsid w:val="00780470"/>
    <w:rsid w:val="00790A94"/>
    <w:rsid w:val="007911B2"/>
    <w:rsid w:val="00797ACE"/>
    <w:rsid w:val="007A08F7"/>
    <w:rsid w:val="007A1E5B"/>
    <w:rsid w:val="007A36C9"/>
    <w:rsid w:val="007A5188"/>
    <w:rsid w:val="007A6512"/>
    <w:rsid w:val="007A67FD"/>
    <w:rsid w:val="007B3D71"/>
    <w:rsid w:val="007B5213"/>
    <w:rsid w:val="007B5482"/>
    <w:rsid w:val="007B5AE0"/>
    <w:rsid w:val="007B7DDF"/>
    <w:rsid w:val="007C047C"/>
    <w:rsid w:val="007C292F"/>
    <w:rsid w:val="007C3698"/>
    <w:rsid w:val="007C749A"/>
    <w:rsid w:val="007D07A2"/>
    <w:rsid w:val="007D16DC"/>
    <w:rsid w:val="007D4C26"/>
    <w:rsid w:val="007D5CBB"/>
    <w:rsid w:val="007D6572"/>
    <w:rsid w:val="007E0563"/>
    <w:rsid w:val="007E6590"/>
    <w:rsid w:val="007E78FD"/>
    <w:rsid w:val="007F33A5"/>
    <w:rsid w:val="007F5833"/>
    <w:rsid w:val="007F6A96"/>
    <w:rsid w:val="007F7A49"/>
    <w:rsid w:val="008016DA"/>
    <w:rsid w:val="00803D1B"/>
    <w:rsid w:val="00804854"/>
    <w:rsid w:val="00805D01"/>
    <w:rsid w:val="008119E7"/>
    <w:rsid w:val="00814ACE"/>
    <w:rsid w:val="00817ED4"/>
    <w:rsid w:val="00822B05"/>
    <w:rsid w:val="00823971"/>
    <w:rsid w:val="00826534"/>
    <w:rsid w:val="00826C28"/>
    <w:rsid w:val="008331F8"/>
    <w:rsid w:val="00833E5B"/>
    <w:rsid w:val="00842D0A"/>
    <w:rsid w:val="0084602F"/>
    <w:rsid w:val="00847755"/>
    <w:rsid w:val="00851FB3"/>
    <w:rsid w:val="0085267C"/>
    <w:rsid w:val="008567AE"/>
    <w:rsid w:val="008602E0"/>
    <w:rsid w:val="00860649"/>
    <w:rsid w:val="008625DD"/>
    <w:rsid w:val="008631FE"/>
    <w:rsid w:val="00865A18"/>
    <w:rsid w:val="00867C03"/>
    <w:rsid w:val="008702EF"/>
    <w:rsid w:val="008736FF"/>
    <w:rsid w:val="00874DAC"/>
    <w:rsid w:val="00876D34"/>
    <w:rsid w:val="00877B50"/>
    <w:rsid w:val="00880C4E"/>
    <w:rsid w:val="00884568"/>
    <w:rsid w:val="00886D39"/>
    <w:rsid w:val="008936E5"/>
    <w:rsid w:val="0089400B"/>
    <w:rsid w:val="008946EA"/>
    <w:rsid w:val="008A0C4A"/>
    <w:rsid w:val="008A3781"/>
    <w:rsid w:val="008A4337"/>
    <w:rsid w:val="008A4F8A"/>
    <w:rsid w:val="008A6265"/>
    <w:rsid w:val="008B4958"/>
    <w:rsid w:val="008B51D6"/>
    <w:rsid w:val="008C3B4C"/>
    <w:rsid w:val="008C4D93"/>
    <w:rsid w:val="008D0EA5"/>
    <w:rsid w:val="008D1879"/>
    <w:rsid w:val="008D2B4F"/>
    <w:rsid w:val="008D3603"/>
    <w:rsid w:val="008E0053"/>
    <w:rsid w:val="008E0C18"/>
    <w:rsid w:val="008E4CFA"/>
    <w:rsid w:val="008F2DB6"/>
    <w:rsid w:val="008F6AF6"/>
    <w:rsid w:val="008F78BF"/>
    <w:rsid w:val="0090152F"/>
    <w:rsid w:val="00905AE6"/>
    <w:rsid w:val="009102B1"/>
    <w:rsid w:val="009117AF"/>
    <w:rsid w:val="00913DA9"/>
    <w:rsid w:val="00915BD0"/>
    <w:rsid w:val="009165B6"/>
    <w:rsid w:val="0091764F"/>
    <w:rsid w:val="00920216"/>
    <w:rsid w:val="00922D1D"/>
    <w:rsid w:val="009233CB"/>
    <w:rsid w:val="0092577B"/>
    <w:rsid w:val="00926831"/>
    <w:rsid w:val="00926EEB"/>
    <w:rsid w:val="00937163"/>
    <w:rsid w:val="00942FF5"/>
    <w:rsid w:val="00943B39"/>
    <w:rsid w:val="00943F58"/>
    <w:rsid w:val="0094443B"/>
    <w:rsid w:val="0094469F"/>
    <w:rsid w:val="0094784E"/>
    <w:rsid w:val="0094793B"/>
    <w:rsid w:val="00953D09"/>
    <w:rsid w:val="00956336"/>
    <w:rsid w:val="0096197F"/>
    <w:rsid w:val="00964882"/>
    <w:rsid w:val="009678EF"/>
    <w:rsid w:val="00972737"/>
    <w:rsid w:val="00972D10"/>
    <w:rsid w:val="00975DA5"/>
    <w:rsid w:val="00976838"/>
    <w:rsid w:val="00976894"/>
    <w:rsid w:val="0098095B"/>
    <w:rsid w:val="00981293"/>
    <w:rsid w:val="009816BB"/>
    <w:rsid w:val="00984168"/>
    <w:rsid w:val="0098447C"/>
    <w:rsid w:val="0098473F"/>
    <w:rsid w:val="0098548A"/>
    <w:rsid w:val="009857A5"/>
    <w:rsid w:val="00986B3E"/>
    <w:rsid w:val="00987946"/>
    <w:rsid w:val="009914DB"/>
    <w:rsid w:val="00993DD3"/>
    <w:rsid w:val="0099765D"/>
    <w:rsid w:val="009A21F7"/>
    <w:rsid w:val="009A6828"/>
    <w:rsid w:val="009B115E"/>
    <w:rsid w:val="009B54E6"/>
    <w:rsid w:val="009C42F0"/>
    <w:rsid w:val="009C5D2B"/>
    <w:rsid w:val="009D0A6C"/>
    <w:rsid w:val="009D7586"/>
    <w:rsid w:val="009E280D"/>
    <w:rsid w:val="009E42EB"/>
    <w:rsid w:val="009E77CE"/>
    <w:rsid w:val="009F1AC6"/>
    <w:rsid w:val="009F2027"/>
    <w:rsid w:val="009F3D52"/>
    <w:rsid w:val="009F46DE"/>
    <w:rsid w:val="009F54BB"/>
    <w:rsid w:val="009F7053"/>
    <w:rsid w:val="00A00218"/>
    <w:rsid w:val="00A01041"/>
    <w:rsid w:val="00A013E6"/>
    <w:rsid w:val="00A059CF"/>
    <w:rsid w:val="00A1079F"/>
    <w:rsid w:val="00A11B75"/>
    <w:rsid w:val="00A14161"/>
    <w:rsid w:val="00A1421E"/>
    <w:rsid w:val="00A161A9"/>
    <w:rsid w:val="00A20C87"/>
    <w:rsid w:val="00A214E6"/>
    <w:rsid w:val="00A21E6F"/>
    <w:rsid w:val="00A2348C"/>
    <w:rsid w:val="00A236AA"/>
    <w:rsid w:val="00A239C4"/>
    <w:rsid w:val="00A24AE5"/>
    <w:rsid w:val="00A27544"/>
    <w:rsid w:val="00A27AD2"/>
    <w:rsid w:val="00A31FBE"/>
    <w:rsid w:val="00A40975"/>
    <w:rsid w:val="00A443E0"/>
    <w:rsid w:val="00A51D94"/>
    <w:rsid w:val="00A549E2"/>
    <w:rsid w:val="00A60D27"/>
    <w:rsid w:val="00A61259"/>
    <w:rsid w:val="00A63845"/>
    <w:rsid w:val="00A64CFB"/>
    <w:rsid w:val="00A660F9"/>
    <w:rsid w:val="00A7108D"/>
    <w:rsid w:val="00A71821"/>
    <w:rsid w:val="00A74B5E"/>
    <w:rsid w:val="00A75A0E"/>
    <w:rsid w:val="00A75AAB"/>
    <w:rsid w:val="00A77C2A"/>
    <w:rsid w:val="00A8150A"/>
    <w:rsid w:val="00A8366F"/>
    <w:rsid w:val="00A86BC1"/>
    <w:rsid w:val="00A909F4"/>
    <w:rsid w:val="00A90FFC"/>
    <w:rsid w:val="00A93CEE"/>
    <w:rsid w:val="00A94DA7"/>
    <w:rsid w:val="00A95DBF"/>
    <w:rsid w:val="00A97ECB"/>
    <w:rsid w:val="00AA77E6"/>
    <w:rsid w:val="00AA78EE"/>
    <w:rsid w:val="00AB22FD"/>
    <w:rsid w:val="00AB249C"/>
    <w:rsid w:val="00AB3141"/>
    <w:rsid w:val="00AB5EF7"/>
    <w:rsid w:val="00AB609D"/>
    <w:rsid w:val="00AB66B8"/>
    <w:rsid w:val="00AB6EDE"/>
    <w:rsid w:val="00AC12CA"/>
    <w:rsid w:val="00AC2268"/>
    <w:rsid w:val="00AC6253"/>
    <w:rsid w:val="00AD75D8"/>
    <w:rsid w:val="00AD7CAC"/>
    <w:rsid w:val="00AD7DE4"/>
    <w:rsid w:val="00AE3D01"/>
    <w:rsid w:val="00AE4FC4"/>
    <w:rsid w:val="00AE5260"/>
    <w:rsid w:val="00AE5CF7"/>
    <w:rsid w:val="00AE67B6"/>
    <w:rsid w:val="00AF08A4"/>
    <w:rsid w:val="00AF0D29"/>
    <w:rsid w:val="00AF3442"/>
    <w:rsid w:val="00AF49A0"/>
    <w:rsid w:val="00AF5D13"/>
    <w:rsid w:val="00AF7CFA"/>
    <w:rsid w:val="00B0423C"/>
    <w:rsid w:val="00B05EB7"/>
    <w:rsid w:val="00B0641E"/>
    <w:rsid w:val="00B07C93"/>
    <w:rsid w:val="00B11FE4"/>
    <w:rsid w:val="00B17226"/>
    <w:rsid w:val="00B1739F"/>
    <w:rsid w:val="00B20435"/>
    <w:rsid w:val="00B2193F"/>
    <w:rsid w:val="00B22D70"/>
    <w:rsid w:val="00B34169"/>
    <w:rsid w:val="00B40AC5"/>
    <w:rsid w:val="00B40DB4"/>
    <w:rsid w:val="00B43529"/>
    <w:rsid w:val="00B45828"/>
    <w:rsid w:val="00B51807"/>
    <w:rsid w:val="00B51D11"/>
    <w:rsid w:val="00B52304"/>
    <w:rsid w:val="00B568D1"/>
    <w:rsid w:val="00B56F9E"/>
    <w:rsid w:val="00B6040F"/>
    <w:rsid w:val="00B60576"/>
    <w:rsid w:val="00B60D18"/>
    <w:rsid w:val="00B70AB4"/>
    <w:rsid w:val="00B82CF7"/>
    <w:rsid w:val="00B82E6C"/>
    <w:rsid w:val="00B83E5B"/>
    <w:rsid w:val="00B840FF"/>
    <w:rsid w:val="00B84A8B"/>
    <w:rsid w:val="00B850F5"/>
    <w:rsid w:val="00B8792A"/>
    <w:rsid w:val="00B87E1C"/>
    <w:rsid w:val="00B87E24"/>
    <w:rsid w:val="00B90907"/>
    <w:rsid w:val="00B923D8"/>
    <w:rsid w:val="00B924CB"/>
    <w:rsid w:val="00BA1742"/>
    <w:rsid w:val="00BA4A15"/>
    <w:rsid w:val="00BA6A1E"/>
    <w:rsid w:val="00BA779B"/>
    <w:rsid w:val="00BB14E3"/>
    <w:rsid w:val="00BB3C2E"/>
    <w:rsid w:val="00BB6955"/>
    <w:rsid w:val="00BC31D7"/>
    <w:rsid w:val="00BC7BDB"/>
    <w:rsid w:val="00BD0888"/>
    <w:rsid w:val="00BD16CC"/>
    <w:rsid w:val="00BD2382"/>
    <w:rsid w:val="00BD38A7"/>
    <w:rsid w:val="00BD4CB1"/>
    <w:rsid w:val="00BD5685"/>
    <w:rsid w:val="00BD58EC"/>
    <w:rsid w:val="00BD6AE4"/>
    <w:rsid w:val="00BD6C5E"/>
    <w:rsid w:val="00BD7122"/>
    <w:rsid w:val="00BE1F7A"/>
    <w:rsid w:val="00BE3696"/>
    <w:rsid w:val="00BE52C6"/>
    <w:rsid w:val="00BF1EA6"/>
    <w:rsid w:val="00BF1F32"/>
    <w:rsid w:val="00BF4EBD"/>
    <w:rsid w:val="00BF7CA8"/>
    <w:rsid w:val="00C000E6"/>
    <w:rsid w:val="00C01E68"/>
    <w:rsid w:val="00C10A53"/>
    <w:rsid w:val="00C11B1A"/>
    <w:rsid w:val="00C136A3"/>
    <w:rsid w:val="00C13F58"/>
    <w:rsid w:val="00C1558A"/>
    <w:rsid w:val="00C16E65"/>
    <w:rsid w:val="00C2467E"/>
    <w:rsid w:val="00C33549"/>
    <w:rsid w:val="00C409F2"/>
    <w:rsid w:val="00C40EFF"/>
    <w:rsid w:val="00C41015"/>
    <w:rsid w:val="00C426BD"/>
    <w:rsid w:val="00C473A5"/>
    <w:rsid w:val="00C50F27"/>
    <w:rsid w:val="00C561A1"/>
    <w:rsid w:val="00C57185"/>
    <w:rsid w:val="00C60374"/>
    <w:rsid w:val="00C65F10"/>
    <w:rsid w:val="00C71195"/>
    <w:rsid w:val="00C74CE6"/>
    <w:rsid w:val="00C750F1"/>
    <w:rsid w:val="00C75D0D"/>
    <w:rsid w:val="00C77D07"/>
    <w:rsid w:val="00C8014F"/>
    <w:rsid w:val="00C81B27"/>
    <w:rsid w:val="00C8459E"/>
    <w:rsid w:val="00C9312C"/>
    <w:rsid w:val="00C97B27"/>
    <w:rsid w:val="00CA039A"/>
    <w:rsid w:val="00CA0BC9"/>
    <w:rsid w:val="00CA54D2"/>
    <w:rsid w:val="00CB2000"/>
    <w:rsid w:val="00CB2025"/>
    <w:rsid w:val="00CB48A6"/>
    <w:rsid w:val="00CB621C"/>
    <w:rsid w:val="00CB6493"/>
    <w:rsid w:val="00CB684E"/>
    <w:rsid w:val="00CC02F2"/>
    <w:rsid w:val="00CC69FA"/>
    <w:rsid w:val="00CC6B34"/>
    <w:rsid w:val="00CD09B4"/>
    <w:rsid w:val="00CD54AC"/>
    <w:rsid w:val="00CD6EE8"/>
    <w:rsid w:val="00CD737F"/>
    <w:rsid w:val="00CD7773"/>
    <w:rsid w:val="00CE691B"/>
    <w:rsid w:val="00CE78B9"/>
    <w:rsid w:val="00CF48A1"/>
    <w:rsid w:val="00CF5CD9"/>
    <w:rsid w:val="00CF610C"/>
    <w:rsid w:val="00CF67F1"/>
    <w:rsid w:val="00D01E73"/>
    <w:rsid w:val="00D0314D"/>
    <w:rsid w:val="00D05F0E"/>
    <w:rsid w:val="00D06457"/>
    <w:rsid w:val="00D13DA8"/>
    <w:rsid w:val="00D17D84"/>
    <w:rsid w:val="00D20184"/>
    <w:rsid w:val="00D2193C"/>
    <w:rsid w:val="00D2665C"/>
    <w:rsid w:val="00D31A22"/>
    <w:rsid w:val="00D32CD6"/>
    <w:rsid w:val="00D355AF"/>
    <w:rsid w:val="00D4185E"/>
    <w:rsid w:val="00D424F4"/>
    <w:rsid w:val="00D5039B"/>
    <w:rsid w:val="00D57F85"/>
    <w:rsid w:val="00D61E00"/>
    <w:rsid w:val="00D63B31"/>
    <w:rsid w:val="00D70B9C"/>
    <w:rsid w:val="00D71AF2"/>
    <w:rsid w:val="00D73671"/>
    <w:rsid w:val="00D74914"/>
    <w:rsid w:val="00D7651E"/>
    <w:rsid w:val="00D765FC"/>
    <w:rsid w:val="00D769EB"/>
    <w:rsid w:val="00D80CDC"/>
    <w:rsid w:val="00D8264B"/>
    <w:rsid w:val="00D8422D"/>
    <w:rsid w:val="00D84E5D"/>
    <w:rsid w:val="00D879E6"/>
    <w:rsid w:val="00D9028D"/>
    <w:rsid w:val="00D90E2B"/>
    <w:rsid w:val="00D91F21"/>
    <w:rsid w:val="00D930A2"/>
    <w:rsid w:val="00D935CD"/>
    <w:rsid w:val="00D94273"/>
    <w:rsid w:val="00D944A0"/>
    <w:rsid w:val="00D946E9"/>
    <w:rsid w:val="00DA47F3"/>
    <w:rsid w:val="00DA7EB6"/>
    <w:rsid w:val="00DB2502"/>
    <w:rsid w:val="00DB45CC"/>
    <w:rsid w:val="00DB7E41"/>
    <w:rsid w:val="00DC1BF6"/>
    <w:rsid w:val="00DC3A4D"/>
    <w:rsid w:val="00DC4022"/>
    <w:rsid w:val="00DC4FA6"/>
    <w:rsid w:val="00DC500F"/>
    <w:rsid w:val="00DC76AE"/>
    <w:rsid w:val="00DD18DE"/>
    <w:rsid w:val="00DD230C"/>
    <w:rsid w:val="00DD2358"/>
    <w:rsid w:val="00DD4D0C"/>
    <w:rsid w:val="00DE0C34"/>
    <w:rsid w:val="00DE2DF3"/>
    <w:rsid w:val="00DE3B31"/>
    <w:rsid w:val="00DE7014"/>
    <w:rsid w:val="00E00B48"/>
    <w:rsid w:val="00E027C9"/>
    <w:rsid w:val="00E030EE"/>
    <w:rsid w:val="00E05423"/>
    <w:rsid w:val="00E0723B"/>
    <w:rsid w:val="00E108C3"/>
    <w:rsid w:val="00E11F03"/>
    <w:rsid w:val="00E120B9"/>
    <w:rsid w:val="00E13758"/>
    <w:rsid w:val="00E148F3"/>
    <w:rsid w:val="00E151DA"/>
    <w:rsid w:val="00E15382"/>
    <w:rsid w:val="00E1572F"/>
    <w:rsid w:val="00E20944"/>
    <w:rsid w:val="00E21A01"/>
    <w:rsid w:val="00E22006"/>
    <w:rsid w:val="00E238A2"/>
    <w:rsid w:val="00E23DCD"/>
    <w:rsid w:val="00E241E7"/>
    <w:rsid w:val="00E3243B"/>
    <w:rsid w:val="00E335D8"/>
    <w:rsid w:val="00E33707"/>
    <w:rsid w:val="00E33A55"/>
    <w:rsid w:val="00E34005"/>
    <w:rsid w:val="00E34DA9"/>
    <w:rsid w:val="00E413AB"/>
    <w:rsid w:val="00E43274"/>
    <w:rsid w:val="00E4665E"/>
    <w:rsid w:val="00E53F38"/>
    <w:rsid w:val="00E557BF"/>
    <w:rsid w:val="00E57045"/>
    <w:rsid w:val="00E64E71"/>
    <w:rsid w:val="00E70312"/>
    <w:rsid w:val="00E73E35"/>
    <w:rsid w:val="00E740D3"/>
    <w:rsid w:val="00E807BA"/>
    <w:rsid w:val="00E80F7E"/>
    <w:rsid w:val="00E8164C"/>
    <w:rsid w:val="00E82B5F"/>
    <w:rsid w:val="00E879C9"/>
    <w:rsid w:val="00E90D94"/>
    <w:rsid w:val="00E95194"/>
    <w:rsid w:val="00E96F65"/>
    <w:rsid w:val="00EA019B"/>
    <w:rsid w:val="00EA26FB"/>
    <w:rsid w:val="00EA5BBB"/>
    <w:rsid w:val="00EB10A7"/>
    <w:rsid w:val="00EB2328"/>
    <w:rsid w:val="00EB48A2"/>
    <w:rsid w:val="00EB494C"/>
    <w:rsid w:val="00EB6DE7"/>
    <w:rsid w:val="00EB71F5"/>
    <w:rsid w:val="00EC6890"/>
    <w:rsid w:val="00EC72A4"/>
    <w:rsid w:val="00ED2CF2"/>
    <w:rsid w:val="00ED694A"/>
    <w:rsid w:val="00ED76D9"/>
    <w:rsid w:val="00EE4722"/>
    <w:rsid w:val="00EE7257"/>
    <w:rsid w:val="00F060A4"/>
    <w:rsid w:val="00F06124"/>
    <w:rsid w:val="00F07523"/>
    <w:rsid w:val="00F10055"/>
    <w:rsid w:val="00F1326E"/>
    <w:rsid w:val="00F155B4"/>
    <w:rsid w:val="00F15D39"/>
    <w:rsid w:val="00F16B10"/>
    <w:rsid w:val="00F16E76"/>
    <w:rsid w:val="00F22898"/>
    <w:rsid w:val="00F231AB"/>
    <w:rsid w:val="00F24BB1"/>
    <w:rsid w:val="00F26054"/>
    <w:rsid w:val="00F27C44"/>
    <w:rsid w:val="00F304EE"/>
    <w:rsid w:val="00F31887"/>
    <w:rsid w:val="00F35671"/>
    <w:rsid w:val="00F400C4"/>
    <w:rsid w:val="00F41E90"/>
    <w:rsid w:val="00F4710F"/>
    <w:rsid w:val="00F507C9"/>
    <w:rsid w:val="00F53A81"/>
    <w:rsid w:val="00F57D8D"/>
    <w:rsid w:val="00F60AAC"/>
    <w:rsid w:val="00F60E88"/>
    <w:rsid w:val="00F667DA"/>
    <w:rsid w:val="00F67288"/>
    <w:rsid w:val="00F7182B"/>
    <w:rsid w:val="00F73B29"/>
    <w:rsid w:val="00F757F6"/>
    <w:rsid w:val="00F7632F"/>
    <w:rsid w:val="00F8168D"/>
    <w:rsid w:val="00F823B7"/>
    <w:rsid w:val="00F82B69"/>
    <w:rsid w:val="00F86321"/>
    <w:rsid w:val="00F91143"/>
    <w:rsid w:val="00F91188"/>
    <w:rsid w:val="00F9546C"/>
    <w:rsid w:val="00F96CF9"/>
    <w:rsid w:val="00F974A1"/>
    <w:rsid w:val="00F97B72"/>
    <w:rsid w:val="00FA10A8"/>
    <w:rsid w:val="00FA1427"/>
    <w:rsid w:val="00FA1505"/>
    <w:rsid w:val="00FA45BA"/>
    <w:rsid w:val="00FA5296"/>
    <w:rsid w:val="00FB1F93"/>
    <w:rsid w:val="00FB48DF"/>
    <w:rsid w:val="00FB5972"/>
    <w:rsid w:val="00FB632F"/>
    <w:rsid w:val="00FC3BAF"/>
    <w:rsid w:val="00FC5824"/>
    <w:rsid w:val="00FC5AFE"/>
    <w:rsid w:val="00FC5D22"/>
    <w:rsid w:val="00FD01BA"/>
    <w:rsid w:val="00FD0CA5"/>
    <w:rsid w:val="00FD1E2E"/>
    <w:rsid w:val="00FD4012"/>
    <w:rsid w:val="00FE20F3"/>
    <w:rsid w:val="00FE4D45"/>
    <w:rsid w:val="00FE5412"/>
    <w:rsid w:val="00FE6874"/>
    <w:rsid w:val="00FF0084"/>
    <w:rsid w:val="00FF0E8C"/>
    <w:rsid w:val="00FF4F25"/>
    <w:rsid w:val="00FF5A7C"/>
    <w:rsid w:val="00FF6B57"/>
    <w:rsid w:val="04032527"/>
    <w:rsid w:val="12B94E79"/>
    <w:rsid w:val="14414E89"/>
    <w:rsid w:val="16465CF3"/>
    <w:rsid w:val="1792353A"/>
    <w:rsid w:val="1C2878A6"/>
    <w:rsid w:val="28C56A2B"/>
    <w:rsid w:val="30680091"/>
    <w:rsid w:val="31472444"/>
    <w:rsid w:val="321B4FC7"/>
    <w:rsid w:val="3A6E2FFD"/>
    <w:rsid w:val="3CAF4B4D"/>
    <w:rsid w:val="3ED03ABD"/>
    <w:rsid w:val="4A065E15"/>
    <w:rsid w:val="5EEA4D84"/>
    <w:rsid w:val="60B74CCA"/>
    <w:rsid w:val="67DE729D"/>
    <w:rsid w:val="6BDE793A"/>
    <w:rsid w:val="72DD56E5"/>
    <w:rsid w:val="75082D6D"/>
    <w:rsid w:val="75773C40"/>
    <w:rsid w:val="7CBF59B7"/>
    <w:rsid w:val="7F0B43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4"/>
    <w:qFormat/>
    <w:uiPriority w:val="0"/>
    <w:pPr>
      <w:keepNext/>
      <w:keepLines/>
      <w:numPr>
        <w:ilvl w:val="0"/>
        <w:numId w:val="1"/>
      </w:numPr>
      <w:spacing w:before="240" w:after="60"/>
      <w:jc w:val="center"/>
      <w:outlineLvl w:val="0"/>
    </w:pPr>
    <w:rPr>
      <w:rFonts w:ascii="Times New Roman" w:hAnsi="Times New Roman"/>
      <w:b/>
      <w:kern w:val="44"/>
      <w:sz w:val="44"/>
      <w:szCs w:val="20"/>
    </w:rPr>
  </w:style>
  <w:style w:type="paragraph" w:styleId="3">
    <w:name w:val="heading 2"/>
    <w:basedOn w:val="1"/>
    <w:next w:val="1"/>
    <w:link w:val="45"/>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46"/>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link w:val="47"/>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8"/>
    <w:semiHidden/>
    <w:unhideWhenUsed/>
    <w:qFormat/>
    <w:uiPriority w:val="9"/>
    <w:pPr>
      <w:keepNext/>
      <w:keepLines/>
      <w:spacing w:before="280" w:after="290" w:line="376" w:lineRule="auto"/>
      <w:outlineLvl w:val="4"/>
    </w:pPr>
    <w:rPr>
      <w:rFonts w:ascii="Times New Roman" w:hAnsi="Times New Roman"/>
      <w:b/>
      <w:bCs/>
      <w:sz w:val="28"/>
      <w:szCs w:val="28"/>
    </w:rPr>
  </w:style>
  <w:style w:type="paragraph" w:styleId="7">
    <w:name w:val="heading 6"/>
    <w:basedOn w:val="1"/>
    <w:next w:val="1"/>
    <w:link w:val="48"/>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0"/>
    </w:rPr>
  </w:style>
  <w:style w:type="paragraph" w:styleId="8">
    <w:name w:val="heading 7"/>
    <w:basedOn w:val="1"/>
    <w:next w:val="1"/>
    <w:link w:val="49"/>
    <w:qFormat/>
    <w:uiPriority w:val="0"/>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0"/>
    </w:rPr>
  </w:style>
  <w:style w:type="paragraph" w:styleId="9">
    <w:name w:val="heading 8"/>
    <w:basedOn w:val="1"/>
    <w:next w:val="1"/>
    <w:link w:val="50"/>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0">
    <w:name w:val="heading 9"/>
    <w:basedOn w:val="1"/>
    <w:next w:val="1"/>
    <w:link w:val="5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7">
    <w:name w:val="Default Paragraph Font"/>
    <w:semiHidden/>
    <w:unhideWhenUsed/>
    <w:qFormat/>
    <w:uiPriority w:val="1"/>
  </w:style>
  <w:style w:type="table" w:default="1" w:styleId="43">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56"/>
    <w:qFormat/>
    <w:uiPriority w:val="0"/>
  </w:style>
  <w:style w:type="paragraph" w:styleId="12">
    <w:name w:val="annotation text"/>
    <w:basedOn w:val="1"/>
    <w:link w:val="55"/>
    <w:qFormat/>
    <w:uiPriority w:val="0"/>
    <w:pPr>
      <w:jc w:val="left"/>
    </w:pPr>
    <w:rPr>
      <w:rFonts w:ascii="Times New Roman" w:hAnsi="Times New Roman"/>
      <w:szCs w:val="20"/>
    </w:rPr>
  </w:style>
  <w:style w:type="paragraph" w:styleId="13">
    <w:name w:val="toc 7"/>
    <w:basedOn w:val="1"/>
    <w:next w:val="1"/>
    <w:qFormat/>
    <w:uiPriority w:val="39"/>
    <w:pPr>
      <w:ind w:left="1200" w:leftChars="1200"/>
    </w:pPr>
  </w:style>
  <w:style w:type="paragraph" w:styleId="14">
    <w:name w:val="Body Text First Indent"/>
    <w:basedOn w:val="1"/>
    <w:link w:val="75"/>
    <w:qFormat/>
    <w:uiPriority w:val="0"/>
    <w:pPr>
      <w:spacing w:line="312" w:lineRule="auto"/>
      <w:ind w:firstLine="420"/>
    </w:pPr>
    <w:rPr>
      <w:rFonts w:ascii="Times New Roman" w:hAnsi="Times New Roman"/>
      <w:szCs w:val="24"/>
    </w:rPr>
  </w:style>
  <w:style w:type="paragraph" w:styleId="15">
    <w:name w:val="Normal Indent"/>
    <w:basedOn w:val="1"/>
    <w:qFormat/>
    <w:uiPriority w:val="0"/>
    <w:pPr>
      <w:ind w:firstLine="420"/>
    </w:pPr>
  </w:style>
  <w:style w:type="paragraph" w:styleId="16">
    <w:name w:val="Document Map"/>
    <w:basedOn w:val="1"/>
    <w:link w:val="57"/>
    <w:qFormat/>
    <w:uiPriority w:val="0"/>
    <w:rPr>
      <w:rFonts w:ascii="宋体" w:cs="宋体"/>
      <w:sz w:val="18"/>
      <w:szCs w:val="18"/>
    </w:rPr>
  </w:style>
  <w:style w:type="paragraph" w:styleId="17">
    <w:name w:val="Body Text 3"/>
    <w:basedOn w:val="1"/>
    <w:link w:val="59"/>
    <w:qFormat/>
    <w:uiPriority w:val="0"/>
    <w:rPr>
      <w:rFonts w:ascii="宋体"/>
      <w:sz w:val="24"/>
      <w:szCs w:val="20"/>
    </w:rPr>
  </w:style>
  <w:style w:type="paragraph" w:styleId="18">
    <w:name w:val="Body Text"/>
    <w:basedOn w:val="1"/>
    <w:link w:val="74"/>
    <w:unhideWhenUsed/>
    <w:qFormat/>
    <w:uiPriority w:val="0"/>
    <w:pPr>
      <w:spacing w:after="120"/>
    </w:pPr>
    <w:rPr>
      <w:rFonts w:ascii="Times New Roman" w:hAnsi="Times New Roman"/>
      <w:szCs w:val="20"/>
    </w:rPr>
  </w:style>
  <w:style w:type="paragraph" w:styleId="19">
    <w:name w:val="Body Text Indent"/>
    <w:basedOn w:val="1"/>
    <w:link w:val="76"/>
    <w:qFormat/>
    <w:uiPriority w:val="0"/>
    <w:pPr>
      <w:spacing w:after="120"/>
      <w:ind w:left="420" w:leftChars="200"/>
    </w:pPr>
    <w:rPr>
      <w:rFonts w:ascii="Times New Roman" w:hAnsi="Times New Roman"/>
      <w:szCs w:val="20"/>
    </w:rPr>
  </w:style>
  <w:style w:type="paragraph" w:styleId="20">
    <w:name w:val="toc 5"/>
    <w:basedOn w:val="1"/>
    <w:next w:val="1"/>
    <w:qFormat/>
    <w:uiPriority w:val="39"/>
    <w:pPr>
      <w:ind w:left="800" w:leftChars="800"/>
    </w:pPr>
  </w:style>
  <w:style w:type="paragraph" w:styleId="21">
    <w:name w:val="toc 3"/>
    <w:basedOn w:val="1"/>
    <w:next w:val="1"/>
    <w:qFormat/>
    <w:uiPriority w:val="39"/>
    <w:pPr>
      <w:ind w:left="400" w:leftChars="400"/>
    </w:pPr>
  </w:style>
  <w:style w:type="paragraph" w:styleId="22">
    <w:name w:val="Plain Text"/>
    <w:basedOn w:val="1"/>
    <w:qFormat/>
    <w:uiPriority w:val="0"/>
    <w:rPr>
      <w:rFonts w:ascii="宋体"/>
    </w:rPr>
  </w:style>
  <w:style w:type="paragraph" w:styleId="23">
    <w:name w:val="toc 8"/>
    <w:basedOn w:val="1"/>
    <w:next w:val="1"/>
    <w:qFormat/>
    <w:uiPriority w:val="39"/>
    <w:pPr>
      <w:ind w:left="1400" w:leftChars="1400"/>
    </w:pPr>
  </w:style>
  <w:style w:type="paragraph" w:styleId="24">
    <w:name w:val="Date"/>
    <w:basedOn w:val="1"/>
    <w:next w:val="1"/>
    <w:link w:val="63"/>
    <w:qFormat/>
    <w:uiPriority w:val="0"/>
    <w:pPr>
      <w:ind w:left="2500" w:leftChars="2500"/>
    </w:pPr>
    <w:rPr>
      <w:rFonts w:ascii="Times New Roman" w:hAnsi="Times New Roman"/>
      <w:szCs w:val="20"/>
    </w:rPr>
  </w:style>
  <w:style w:type="paragraph" w:styleId="25">
    <w:name w:val="Balloon Text"/>
    <w:basedOn w:val="1"/>
    <w:link w:val="62"/>
    <w:qFormat/>
    <w:uiPriority w:val="0"/>
    <w:rPr>
      <w:rFonts w:ascii="Times New Roman" w:hAnsi="Times New Roman"/>
      <w:sz w:val="18"/>
      <w:szCs w:val="20"/>
    </w:rPr>
  </w:style>
  <w:style w:type="paragraph" w:styleId="26">
    <w:name w:val="footer"/>
    <w:basedOn w:val="1"/>
    <w:link w:val="58"/>
    <w:qFormat/>
    <w:uiPriority w:val="0"/>
    <w:pPr>
      <w:tabs>
        <w:tab w:val="center" w:pos="4153"/>
        <w:tab w:val="right" w:pos="8306"/>
      </w:tabs>
      <w:snapToGrid w:val="0"/>
      <w:jc w:val="left"/>
    </w:pPr>
    <w:rPr>
      <w:sz w:val="18"/>
    </w:rPr>
  </w:style>
  <w:style w:type="paragraph" w:styleId="27">
    <w:name w:val="header"/>
    <w:basedOn w:val="1"/>
    <w:link w:val="61"/>
    <w:qFormat/>
    <w:uiPriority w:val="0"/>
    <w:pPr>
      <w:tabs>
        <w:tab w:val="center" w:pos="4153"/>
        <w:tab w:val="right" w:pos="8306"/>
      </w:tabs>
      <w:snapToGrid w:val="0"/>
    </w:pPr>
    <w:rPr>
      <w:rFonts w:ascii="Times New Roman" w:hAnsi="Times New Roman"/>
      <w:sz w:val="18"/>
      <w:szCs w:val="20"/>
    </w:rPr>
  </w:style>
  <w:style w:type="paragraph" w:styleId="28">
    <w:name w:val="toc 1"/>
    <w:basedOn w:val="1"/>
    <w:next w:val="1"/>
    <w:qFormat/>
    <w:uiPriority w:val="39"/>
  </w:style>
  <w:style w:type="paragraph" w:styleId="29">
    <w:name w:val="toc 4"/>
    <w:basedOn w:val="1"/>
    <w:next w:val="1"/>
    <w:qFormat/>
    <w:uiPriority w:val="39"/>
    <w:pPr>
      <w:ind w:left="600" w:leftChars="600"/>
    </w:pPr>
  </w:style>
  <w:style w:type="paragraph" w:styleId="30">
    <w:name w:val="toc 6"/>
    <w:basedOn w:val="1"/>
    <w:next w:val="1"/>
    <w:qFormat/>
    <w:uiPriority w:val="39"/>
    <w:pPr>
      <w:ind w:left="1000" w:leftChars="1000"/>
    </w:pPr>
  </w:style>
  <w:style w:type="paragraph" w:styleId="31">
    <w:name w:val="Body Text Indent 3"/>
    <w:basedOn w:val="1"/>
    <w:link w:val="60"/>
    <w:qFormat/>
    <w:uiPriority w:val="0"/>
    <w:pPr>
      <w:spacing w:after="120"/>
      <w:ind w:left="200" w:leftChars="200"/>
    </w:pPr>
    <w:rPr>
      <w:sz w:val="16"/>
      <w:szCs w:val="16"/>
    </w:rPr>
  </w:style>
  <w:style w:type="paragraph" w:styleId="32">
    <w:name w:val="toc 2"/>
    <w:basedOn w:val="1"/>
    <w:next w:val="1"/>
    <w:qFormat/>
    <w:uiPriority w:val="39"/>
    <w:pPr>
      <w:ind w:left="200" w:leftChars="200"/>
    </w:pPr>
  </w:style>
  <w:style w:type="paragraph" w:styleId="33">
    <w:name w:val="toc 9"/>
    <w:basedOn w:val="1"/>
    <w:next w:val="1"/>
    <w:qFormat/>
    <w:uiPriority w:val="39"/>
    <w:pPr>
      <w:ind w:left="1600" w:leftChars="1600"/>
    </w:pPr>
  </w:style>
  <w:style w:type="paragraph" w:styleId="34">
    <w:name w:val="Normal (Web)"/>
    <w:basedOn w:val="1"/>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35">
    <w:name w:val="index 1"/>
    <w:basedOn w:val="1"/>
    <w:next w:val="1"/>
    <w:qFormat/>
    <w:uiPriority w:val="0"/>
    <w:pPr>
      <w:spacing w:line="220" w:lineRule="exact"/>
      <w:jc w:val="center"/>
    </w:pPr>
    <w:rPr>
      <w:rFonts w:ascii="仿宋_GB2312" w:hAnsi="Times New Roman" w:eastAsia="仿宋_GB2312"/>
      <w:szCs w:val="21"/>
    </w:rPr>
  </w:style>
  <w:style w:type="paragraph" w:styleId="36">
    <w:name w:val="Title"/>
    <w:basedOn w:val="1"/>
    <w:link w:val="80"/>
    <w:qFormat/>
    <w:uiPriority w:val="0"/>
    <w:pPr>
      <w:adjustRightInd w:val="0"/>
      <w:spacing w:before="240" w:after="60" w:line="420" w:lineRule="atLeast"/>
      <w:jc w:val="center"/>
      <w:textAlignment w:val="baseline"/>
      <w:outlineLvl w:val="0"/>
    </w:pPr>
    <w:rPr>
      <w:rFonts w:ascii="Arial" w:hAnsi="Arial"/>
      <w:b/>
      <w:kern w:val="0"/>
      <w:sz w:val="32"/>
      <w:szCs w:val="20"/>
    </w:rPr>
  </w:style>
  <w:style w:type="character" w:styleId="38">
    <w:name w:val="Strong"/>
    <w:qFormat/>
    <w:uiPriority w:val="0"/>
    <w:rPr>
      <w:b/>
      <w:bCs/>
    </w:rPr>
  </w:style>
  <w:style w:type="character" w:styleId="39">
    <w:name w:val="page number"/>
    <w:basedOn w:val="37"/>
    <w:qFormat/>
    <w:uiPriority w:val="0"/>
  </w:style>
  <w:style w:type="character" w:styleId="40">
    <w:name w:val="Hyperlink"/>
    <w:qFormat/>
    <w:uiPriority w:val="99"/>
    <w:rPr>
      <w:color w:val="0000FF"/>
      <w:u w:val="single"/>
    </w:rPr>
  </w:style>
  <w:style w:type="character" w:styleId="41">
    <w:name w:val="annotation reference"/>
    <w:qFormat/>
    <w:uiPriority w:val="0"/>
    <w:rPr>
      <w:sz w:val="21"/>
    </w:rPr>
  </w:style>
  <w:style w:type="character" w:styleId="42">
    <w:name w:val="footnote reference"/>
    <w:qFormat/>
    <w:uiPriority w:val="0"/>
    <w:rPr>
      <w:vertAlign w:val="superscript"/>
    </w:rPr>
  </w:style>
  <w:style w:type="character" w:customStyle="1" w:styleId="44">
    <w:name w:val="标题 1 Char"/>
    <w:basedOn w:val="37"/>
    <w:link w:val="2"/>
    <w:qFormat/>
    <w:uiPriority w:val="0"/>
    <w:rPr>
      <w:b/>
      <w:kern w:val="44"/>
      <w:sz w:val="44"/>
    </w:rPr>
  </w:style>
  <w:style w:type="character" w:customStyle="1" w:styleId="45">
    <w:name w:val="标题 2 Char"/>
    <w:basedOn w:val="37"/>
    <w:link w:val="3"/>
    <w:qFormat/>
    <w:uiPriority w:val="0"/>
    <w:rPr>
      <w:rFonts w:ascii="Arial" w:hAnsi="Arial" w:eastAsia="黑体"/>
      <w:b/>
      <w:kern w:val="2"/>
      <w:sz w:val="32"/>
    </w:rPr>
  </w:style>
  <w:style w:type="character" w:customStyle="1" w:styleId="46">
    <w:name w:val="标题 3 Char"/>
    <w:basedOn w:val="37"/>
    <w:link w:val="4"/>
    <w:qFormat/>
    <w:uiPriority w:val="0"/>
    <w:rPr>
      <w:rFonts w:ascii="黑体" w:hAnsi="Calibri" w:eastAsia="黑体"/>
      <w:kern w:val="2"/>
      <w:sz w:val="28"/>
    </w:rPr>
  </w:style>
  <w:style w:type="character" w:customStyle="1" w:styleId="47">
    <w:name w:val="标题 4 Char"/>
    <w:basedOn w:val="37"/>
    <w:link w:val="5"/>
    <w:qFormat/>
    <w:uiPriority w:val="0"/>
    <w:rPr>
      <w:rFonts w:ascii="Arial" w:hAnsi="Arial" w:eastAsia="黑体"/>
      <w:b/>
      <w:bCs/>
      <w:kern w:val="2"/>
      <w:sz w:val="28"/>
      <w:szCs w:val="28"/>
    </w:rPr>
  </w:style>
  <w:style w:type="character" w:customStyle="1" w:styleId="48">
    <w:name w:val="标题 6 Char"/>
    <w:basedOn w:val="37"/>
    <w:link w:val="7"/>
    <w:qFormat/>
    <w:uiPriority w:val="0"/>
    <w:rPr>
      <w:rFonts w:ascii="Arial" w:hAnsi="Arial" w:eastAsia="黑体"/>
      <w:b/>
      <w:bCs/>
      <w:sz w:val="24"/>
    </w:rPr>
  </w:style>
  <w:style w:type="character" w:customStyle="1" w:styleId="49">
    <w:name w:val="标题 7 Char"/>
    <w:basedOn w:val="37"/>
    <w:link w:val="8"/>
    <w:qFormat/>
    <w:uiPriority w:val="0"/>
    <w:rPr>
      <w:rFonts w:eastAsia="宋体"/>
      <w:b/>
      <w:bCs/>
      <w:sz w:val="24"/>
    </w:rPr>
  </w:style>
  <w:style w:type="character" w:customStyle="1" w:styleId="50">
    <w:name w:val="标题 8 Char"/>
    <w:basedOn w:val="37"/>
    <w:link w:val="9"/>
    <w:qFormat/>
    <w:uiPriority w:val="0"/>
    <w:rPr>
      <w:rFonts w:ascii="Arial" w:hAnsi="Arial" w:eastAsia="黑体"/>
      <w:sz w:val="24"/>
    </w:rPr>
  </w:style>
  <w:style w:type="character" w:customStyle="1" w:styleId="51">
    <w:name w:val="标题 9 Char"/>
    <w:basedOn w:val="37"/>
    <w:link w:val="10"/>
    <w:qFormat/>
    <w:uiPriority w:val="0"/>
    <w:rPr>
      <w:rFonts w:ascii="Arial" w:hAnsi="Arial" w:eastAsia="黑体"/>
      <w:sz w:val="21"/>
      <w:szCs w:val="21"/>
    </w:rPr>
  </w:style>
  <w:style w:type="character" w:customStyle="1" w:styleId="52">
    <w:name w:val="style_kwd"/>
    <w:basedOn w:val="37"/>
    <w:qFormat/>
    <w:uiPriority w:val="0"/>
  </w:style>
  <w:style w:type="character" w:customStyle="1" w:styleId="53">
    <w:name w:val="批注文字 Char1"/>
    <w:qFormat/>
    <w:uiPriority w:val="0"/>
    <w:rPr>
      <w:rFonts w:ascii="Times New Roman" w:hAnsi="Times New Roman" w:eastAsia="宋体" w:cs="Times New Roman"/>
      <w:sz w:val="20"/>
      <w:szCs w:val="20"/>
      <w:lang w:bidi="ar-SA"/>
    </w:rPr>
  </w:style>
  <w:style w:type="character" w:customStyle="1" w:styleId="54">
    <w:name w:val="Comment Text Char"/>
    <w:qFormat/>
    <w:uiPriority w:val="0"/>
  </w:style>
  <w:style w:type="character" w:customStyle="1" w:styleId="55">
    <w:name w:val="批注文字 Char"/>
    <w:basedOn w:val="37"/>
    <w:link w:val="12"/>
    <w:qFormat/>
    <w:uiPriority w:val="0"/>
    <w:rPr>
      <w:rFonts w:eastAsia="宋体"/>
      <w:kern w:val="2"/>
      <w:sz w:val="21"/>
    </w:rPr>
  </w:style>
  <w:style w:type="character" w:customStyle="1" w:styleId="56">
    <w:name w:val="批注主题 Char"/>
    <w:link w:val="11"/>
    <w:qFormat/>
    <w:uiPriority w:val="0"/>
    <w:rPr>
      <w:rFonts w:eastAsia="宋体"/>
      <w:kern w:val="2"/>
      <w:sz w:val="21"/>
    </w:rPr>
  </w:style>
  <w:style w:type="character" w:customStyle="1" w:styleId="57">
    <w:name w:val="文档结构图 Char"/>
    <w:link w:val="16"/>
    <w:qFormat/>
    <w:uiPriority w:val="0"/>
    <w:rPr>
      <w:rFonts w:ascii="宋体" w:hAnsi="Calibri" w:eastAsia="宋体" w:cs="宋体"/>
      <w:kern w:val="2"/>
      <w:sz w:val="18"/>
      <w:szCs w:val="18"/>
    </w:rPr>
  </w:style>
  <w:style w:type="character" w:customStyle="1" w:styleId="58">
    <w:name w:val="页脚 Char"/>
    <w:link w:val="26"/>
    <w:qFormat/>
    <w:uiPriority w:val="0"/>
    <w:rPr>
      <w:rFonts w:ascii="Calibri" w:hAnsi="Calibri" w:eastAsia="宋体"/>
      <w:kern w:val="2"/>
      <w:sz w:val="18"/>
      <w:szCs w:val="22"/>
    </w:rPr>
  </w:style>
  <w:style w:type="character" w:customStyle="1" w:styleId="59">
    <w:name w:val="正文文本 3 Char"/>
    <w:basedOn w:val="37"/>
    <w:link w:val="17"/>
    <w:qFormat/>
    <w:uiPriority w:val="0"/>
    <w:rPr>
      <w:rFonts w:ascii="宋体" w:hAnsi="Calibri" w:eastAsia="宋体"/>
      <w:kern w:val="2"/>
      <w:sz w:val="24"/>
    </w:rPr>
  </w:style>
  <w:style w:type="character" w:customStyle="1" w:styleId="60">
    <w:name w:val="正文文本缩进 3 Char"/>
    <w:basedOn w:val="37"/>
    <w:link w:val="31"/>
    <w:qFormat/>
    <w:uiPriority w:val="0"/>
    <w:rPr>
      <w:rFonts w:ascii="Calibri" w:hAnsi="Calibri" w:eastAsia="宋体"/>
      <w:kern w:val="2"/>
      <w:sz w:val="16"/>
      <w:szCs w:val="16"/>
    </w:rPr>
  </w:style>
  <w:style w:type="character" w:customStyle="1" w:styleId="61">
    <w:name w:val="页眉 Char"/>
    <w:link w:val="27"/>
    <w:qFormat/>
    <w:uiPriority w:val="0"/>
    <w:rPr>
      <w:rFonts w:eastAsia="宋体"/>
      <w:kern w:val="2"/>
      <w:sz w:val="18"/>
    </w:rPr>
  </w:style>
  <w:style w:type="character" w:customStyle="1" w:styleId="62">
    <w:name w:val="批注框文本 Char"/>
    <w:link w:val="25"/>
    <w:qFormat/>
    <w:uiPriority w:val="0"/>
    <w:rPr>
      <w:rFonts w:eastAsia="宋体"/>
      <w:kern w:val="2"/>
      <w:sz w:val="18"/>
    </w:rPr>
  </w:style>
  <w:style w:type="character" w:customStyle="1" w:styleId="63">
    <w:name w:val="日期 Char"/>
    <w:link w:val="24"/>
    <w:qFormat/>
    <w:uiPriority w:val="0"/>
    <w:rPr>
      <w:rFonts w:eastAsia="宋体"/>
      <w:kern w:val="2"/>
      <w:sz w:val="21"/>
    </w:rPr>
  </w:style>
  <w:style w:type="paragraph" w:customStyle="1" w:styleId="64">
    <w:name w:val="修订1"/>
    <w:qFormat/>
    <w:uiPriority w:val="0"/>
    <w:rPr>
      <w:rFonts w:ascii="Times New Roman" w:hAnsi="Times New Roman" w:eastAsia="宋体" w:cs="Times New Roman"/>
      <w:kern w:val="2"/>
      <w:sz w:val="21"/>
      <w:lang w:val="en-US" w:eastAsia="zh-CN" w:bidi="ar-SA"/>
    </w:rPr>
  </w:style>
  <w:style w:type="paragraph" w:customStyle="1" w:styleId="65">
    <w:name w:val="_Style 23"/>
    <w:basedOn w:val="1"/>
    <w:qFormat/>
    <w:uiPriority w:val="0"/>
    <w:pPr>
      <w:widowControl/>
      <w:spacing w:after="160" w:line="240" w:lineRule="exact"/>
      <w:jc w:val="left"/>
    </w:pPr>
  </w:style>
  <w:style w:type="paragraph" w:customStyle="1" w:styleId="66">
    <w:name w:val="TOC 标题1"/>
    <w:basedOn w:val="2"/>
    <w:next w:val="1"/>
    <w:uiPriority w:val="0"/>
    <w:pPr>
      <w:widowControl/>
      <w:spacing w:before="480" w:after="0" w:line="276" w:lineRule="auto"/>
      <w:jc w:val="left"/>
      <w:outlineLvl w:val="9"/>
    </w:pPr>
    <w:rPr>
      <w:rFonts w:ascii="Cambria" w:hAnsi="Cambria"/>
      <w:color w:val="365F91"/>
      <w:kern w:val="0"/>
      <w:sz w:val="28"/>
    </w:rPr>
  </w:style>
  <w:style w:type="character" w:customStyle="1" w:styleId="67">
    <w:name w:val="font161"/>
    <w:qFormat/>
    <w:uiPriority w:val="0"/>
    <w:rPr>
      <w:b/>
      <w:bCs/>
      <w:sz w:val="32"/>
      <w:szCs w:val="32"/>
    </w:rPr>
  </w:style>
  <w:style w:type="character" w:customStyle="1" w:styleId="68">
    <w:name w:val="标题 5 Char"/>
    <w:basedOn w:val="37"/>
    <w:link w:val="6"/>
    <w:semiHidden/>
    <w:qFormat/>
    <w:uiPriority w:val="9"/>
    <w:rPr>
      <w:rFonts w:eastAsia="宋体"/>
      <w:b/>
      <w:bCs/>
      <w:kern w:val="2"/>
      <w:sz w:val="28"/>
      <w:szCs w:val="28"/>
    </w:rPr>
  </w:style>
  <w:style w:type="character" w:customStyle="1" w:styleId="69">
    <w:name w:val="正文首行缩进 Char"/>
    <w:basedOn w:val="70"/>
    <w:qFormat/>
    <w:uiPriority w:val="0"/>
    <w:rPr>
      <w:rFonts w:eastAsia="宋体"/>
      <w:kern w:val="2"/>
      <w:sz w:val="21"/>
      <w:szCs w:val="24"/>
      <w:lang w:val="en-US" w:eastAsia="zh-CN" w:bidi="ar-SA"/>
    </w:rPr>
  </w:style>
  <w:style w:type="character" w:customStyle="1" w:styleId="70">
    <w:name w:val="正文文本 Char"/>
    <w:qFormat/>
    <w:uiPriority w:val="0"/>
    <w:rPr>
      <w:rFonts w:eastAsia="宋体"/>
      <w:kern w:val="2"/>
      <w:sz w:val="21"/>
      <w:szCs w:val="24"/>
      <w:lang w:val="en-US" w:eastAsia="zh-CN" w:bidi="ar-SA"/>
    </w:rPr>
  </w:style>
  <w:style w:type="paragraph" w:customStyle="1" w:styleId="71">
    <w:name w:val="表格文字"/>
    <w:basedOn w:val="1"/>
    <w:qFormat/>
    <w:uiPriority w:val="0"/>
    <w:pPr>
      <w:adjustRightInd w:val="0"/>
      <w:spacing w:line="420" w:lineRule="atLeast"/>
      <w:jc w:val="left"/>
      <w:textAlignment w:val="baseline"/>
    </w:pPr>
    <w:rPr>
      <w:rFonts w:ascii="Times New Roman" w:hAnsi="Times New Roman"/>
      <w:kern w:val="0"/>
      <w:szCs w:val="20"/>
    </w:rPr>
  </w:style>
  <w:style w:type="paragraph" w:customStyle="1" w:styleId="72">
    <w:name w:val="Char"/>
    <w:basedOn w:val="1"/>
    <w:qFormat/>
    <w:uiPriority w:val="0"/>
    <w:pPr>
      <w:widowControl/>
      <w:spacing w:after="160" w:line="240" w:lineRule="exact"/>
      <w:jc w:val="left"/>
    </w:pPr>
    <w:rPr>
      <w:rFonts w:ascii="Verdana" w:hAnsi="Verdana"/>
      <w:kern w:val="0"/>
      <w:sz w:val="20"/>
      <w:szCs w:val="20"/>
      <w:lang w:eastAsia="en-US"/>
    </w:rPr>
  </w:style>
  <w:style w:type="paragraph" w:styleId="73">
    <w:name w:val="List Paragraph"/>
    <w:basedOn w:val="1"/>
    <w:qFormat/>
    <w:uiPriority w:val="34"/>
    <w:pPr>
      <w:ind w:firstLine="420" w:firstLineChars="200"/>
    </w:pPr>
  </w:style>
  <w:style w:type="character" w:customStyle="1" w:styleId="74">
    <w:name w:val="正文文本 Char1"/>
    <w:basedOn w:val="37"/>
    <w:link w:val="18"/>
    <w:qFormat/>
    <w:uiPriority w:val="0"/>
    <w:rPr>
      <w:rFonts w:eastAsia="宋体"/>
      <w:kern w:val="2"/>
      <w:sz w:val="21"/>
    </w:rPr>
  </w:style>
  <w:style w:type="character" w:customStyle="1" w:styleId="75">
    <w:name w:val="正文首行缩进 Char1"/>
    <w:basedOn w:val="74"/>
    <w:link w:val="14"/>
    <w:qFormat/>
    <w:uiPriority w:val="99"/>
    <w:rPr>
      <w:rFonts w:eastAsia="宋体"/>
      <w:kern w:val="2"/>
      <w:sz w:val="21"/>
    </w:rPr>
  </w:style>
  <w:style w:type="character" w:customStyle="1" w:styleId="76">
    <w:name w:val="正文文本缩进 Char"/>
    <w:basedOn w:val="37"/>
    <w:link w:val="19"/>
    <w:qFormat/>
    <w:uiPriority w:val="0"/>
    <w:rPr>
      <w:rFonts w:eastAsia="宋体"/>
      <w:kern w:val="2"/>
      <w:sz w:val="21"/>
    </w:rPr>
  </w:style>
  <w:style w:type="paragraph" w:customStyle="1" w:styleId="77">
    <w:name w:val="我的正文"/>
    <w:basedOn w:val="1"/>
    <w:qFormat/>
    <w:uiPriority w:val="0"/>
    <w:rPr>
      <w:rFonts w:ascii="宋体" w:hAnsi="宋体"/>
      <w:sz w:val="24"/>
      <w:szCs w:val="24"/>
    </w:rPr>
  </w:style>
  <w:style w:type="paragraph" w:customStyle="1" w:styleId="7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sz w:val="28"/>
    </w:rPr>
  </w:style>
  <w:style w:type="paragraph" w:customStyle="1" w:styleId="79">
    <w:name w:val="样式2"/>
    <w:basedOn w:val="4"/>
    <w:qFormat/>
    <w:uiPriority w:val="0"/>
    <w:pPr>
      <w:spacing w:line="415" w:lineRule="auto"/>
      <w:ind w:firstLine="137"/>
    </w:pPr>
    <w:rPr>
      <w:rFonts w:hAnsi="Times New Roman"/>
      <w:bCs/>
      <w:i/>
      <w:szCs w:val="28"/>
    </w:rPr>
  </w:style>
  <w:style w:type="character" w:customStyle="1" w:styleId="80">
    <w:name w:val="标题 Char"/>
    <w:basedOn w:val="37"/>
    <w:link w:val="36"/>
    <w:qFormat/>
    <w:uiPriority w:val="0"/>
    <w:rPr>
      <w:rFonts w:ascii="Arial" w:hAnsi="Arial" w:eastAsia="宋体"/>
      <w:b/>
      <w:sz w:val="32"/>
    </w:rPr>
  </w:style>
  <w:style w:type="paragraph" w:customStyle="1" w:styleId="81">
    <w:name w:val="Char1"/>
    <w:basedOn w:val="1"/>
    <w:qFormat/>
    <w:uiPriority w:val="0"/>
    <w:pPr>
      <w:tabs>
        <w:tab w:val="left" w:pos="360"/>
      </w:tabs>
    </w:pPr>
    <w:rPr>
      <w:rFonts w:ascii="Times New Roman" w:hAnsi="Times New Roman"/>
      <w:sz w:val="24"/>
      <w:szCs w:val="20"/>
    </w:rPr>
  </w:style>
  <w:style w:type="paragraph" w:customStyle="1" w:styleId="82">
    <w:name w:val="修订11"/>
    <w:qFormat/>
    <w:uiPriority w:val="0"/>
    <w:rPr>
      <w:rFonts w:ascii="Times New Roman" w:hAnsi="Times New Roman" w:eastAsia="宋体" w:cs="Times New Roman"/>
      <w:kern w:val="2"/>
      <w:sz w:val="21"/>
      <w:szCs w:val="24"/>
      <w:lang w:val="en-US" w:eastAsia="zh-CN" w:bidi="ar-SA"/>
    </w:rPr>
  </w:style>
  <w:style w:type="paragraph" w:customStyle="1" w:styleId="83">
    <w:name w:val="样式1"/>
    <w:basedOn w:val="1"/>
    <w:next w:val="5"/>
    <w:qFormat/>
    <w:uiPriority w:val="0"/>
    <w:pPr>
      <w:spacing w:line="360" w:lineRule="auto"/>
      <w:ind w:firstLine="420" w:firstLineChars="200"/>
    </w:pPr>
    <w:rPr>
      <w:rFonts w:ascii="宋体" w:hAnsi="宋体"/>
      <w:szCs w:val="21"/>
    </w:rPr>
  </w:style>
  <w:style w:type="paragraph" w:customStyle="1" w:styleId="84">
    <w:name w:val="6'"/>
    <w:basedOn w:val="1"/>
    <w:qFormat/>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85">
    <w:name w:val="样式 标题 1 + 黑体 三号 非加粗 居中 段前: 6 磅 段后: 6 磅 行距: 固定值 20 磅"/>
    <w:basedOn w:val="2"/>
    <w:qFormat/>
    <w:uiPriority w:val="0"/>
    <w:pPr>
      <w:spacing w:before="120" w:after="120" w:line="400" w:lineRule="exact"/>
    </w:pPr>
    <w:rPr>
      <w:rFonts w:ascii="黑体" w:hAnsi="黑体" w:eastAsia="黑体" w:cs="宋体"/>
      <w:b w:val="0"/>
      <w:sz w:val="32"/>
    </w:rPr>
  </w:style>
  <w:style w:type="paragraph" w:customStyle="1" w:styleId="86">
    <w:name w:val="样式 标题 3 + (中文) 黑体 小四 非加粗 段前: 7.8 磅 段后: 0 磅 行距: 固定值 20 磅"/>
    <w:basedOn w:val="4"/>
    <w:qFormat/>
    <w:uiPriority w:val="0"/>
    <w:pPr>
      <w:spacing w:before="0" w:after="0" w:line="400" w:lineRule="exact"/>
      <w:ind w:firstLine="137"/>
    </w:pPr>
    <w:rPr>
      <w:rFonts w:hAnsi="Times New Roman" w:cs="宋体"/>
      <w:sz w:val="24"/>
    </w:rPr>
  </w:style>
  <w:style w:type="paragraph" w:customStyle="1" w:styleId="87">
    <w:name w:val="1"/>
    <w:basedOn w:val="1"/>
    <w:qFormat/>
    <w:uiPriority w:val="0"/>
    <w:rPr>
      <w:rFonts w:ascii="Times New Roman" w:hAnsi="Times New Roman"/>
      <w:szCs w:val="20"/>
    </w:rPr>
  </w:style>
  <w:style w:type="paragraph" w:customStyle="1" w:styleId="88">
    <w:name w:val="表格"/>
    <w:basedOn w:val="1"/>
    <w:qFormat/>
    <w:uiPriority w:val="0"/>
    <w:pPr>
      <w:jc w:val="center"/>
      <w:textAlignment w:val="center"/>
    </w:pPr>
    <w:rPr>
      <w:rFonts w:ascii="华文细黑" w:hAnsi="华文细黑"/>
      <w:kern w:val="0"/>
      <w:szCs w:val="20"/>
    </w:rPr>
  </w:style>
  <w:style w:type="paragraph" w:customStyle="1" w:styleId="89">
    <w:name w:val="修订2"/>
    <w:qFormat/>
    <w:uiPriority w:val="0"/>
    <w:rPr>
      <w:rFonts w:ascii="Times New Roman" w:hAnsi="Times New Roman" w:eastAsia="宋体" w:cs="Times New Roman"/>
      <w:kern w:val="2"/>
      <w:sz w:val="21"/>
      <w:szCs w:val="24"/>
      <w:lang w:val="en-US" w:eastAsia="zh-CN" w:bidi="ar-SA"/>
    </w:rPr>
  </w:style>
  <w:style w:type="paragraph" w:customStyle="1" w:styleId="90">
    <w:name w:val="lhy"/>
    <w:basedOn w:val="1"/>
    <w:qFormat/>
    <w:uiPriority w:val="0"/>
    <w:pPr>
      <w:spacing w:line="480" w:lineRule="exact"/>
      <w:ind w:firstLine="482"/>
    </w:pPr>
    <w:rPr>
      <w:rFonts w:ascii="Times New Roman" w:hAnsi="Times New Roman"/>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EDA317-2C9F-4653-9346-BC021A4794D0}">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4482</Words>
  <Characters>25553</Characters>
  <Lines>212</Lines>
  <Paragraphs>59</Paragraphs>
  <TotalTime>0</TotalTime>
  <ScaleCrop>false</ScaleCrop>
  <LinksUpToDate>false</LinksUpToDate>
  <CharactersWithSpaces>29976</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2017-02-20T01:14:00Z</dcterms:created>
  <dc:creator>袁静</dc:creator>
  <cp:lastModifiedBy>    .</cp:lastModifiedBy>
  <cp:lastPrinted>2017-09-04T12:42:00Z</cp:lastPrinted>
  <dcterms:modified xsi:type="dcterms:W3CDTF">2018-11-13T09:15:04Z</dcterms:modified>
  <dc:title>中华人民共和国</dc:title>
  <cp:revision>414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